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222D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5C4235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D755E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hint="eastAsia" w:ascii="黑体" w:hAnsi="黑体" w:eastAsia="黑体" w:cs="Times New Roman"/>
                <w:kern w:val="2"/>
                <w:sz w:val="21"/>
                <w:szCs w:val="21"/>
                <w:lang w:val="en-US" w:eastAsia="zh-CN" w:bidi="ar-SA"/>
              </w:rPr>
              <w:fldChar w:fldCharType="begin">
                <w:ffData>
                  <w:name w:val="ICS"/>
                  <w:enabled/>
                  <w:calcOnExit w:val="0"/>
                  <w:textInput>
                    <w:default w:val="11.040.30"/>
                  </w:textInput>
                </w:ffData>
              </w:fldChar>
            </w:r>
            <w:r>
              <w:rPr>
                <w:rFonts w:hint="eastAsia" w:ascii="黑体" w:hAnsi="黑体" w:eastAsia="黑体" w:cs="Times New Roman"/>
                <w:kern w:val="2"/>
                <w:sz w:val="21"/>
                <w:szCs w:val="21"/>
                <w:lang w:val="en-US" w:eastAsia="zh-CN" w:bidi="ar-SA"/>
              </w:rPr>
              <w:instrText xml:space="preserve">FORMTEXT</w:instrText>
            </w:r>
            <w:r>
              <w:rPr>
                <w:rFonts w:hint="eastAsia" w:ascii="黑体" w:hAnsi="黑体" w:eastAsia="黑体" w:cs="Times New Roman"/>
                <w:kern w:val="2"/>
                <w:sz w:val="21"/>
                <w:szCs w:val="21"/>
                <w:lang w:val="en-US" w:eastAsia="zh-CN" w:bidi="ar-SA"/>
              </w:rPr>
              <w:fldChar w:fldCharType="separate"/>
            </w:r>
            <w:r>
              <w:rPr>
                <w:rFonts w:hint="eastAsia" w:ascii="黑体" w:hAnsi="黑体" w:eastAsia="黑体" w:cs="Times New Roman"/>
                <w:kern w:val="2"/>
                <w:sz w:val="21"/>
                <w:szCs w:val="21"/>
                <w:lang w:val="en-US" w:eastAsia="zh-CN" w:bidi="ar-SA"/>
              </w:rPr>
              <w:t>11.040.30</w:t>
            </w:r>
            <w:r>
              <w:rPr>
                <w:rFonts w:hint="eastAsia" w:ascii="黑体" w:hAnsi="黑体" w:eastAsia="黑体" w:cs="Times New Roman"/>
                <w:kern w:val="2"/>
                <w:sz w:val="21"/>
                <w:szCs w:val="21"/>
                <w:lang w:val="en-US" w:eastAsia="zh-CN" w:bidi="ar-SA"/>
              </w:rPr>
              <w:fldChar w:fldCharType="end"/>
            </w:r>
            <w:bookmarkEnd w:id="0"/>
          </w:p>
        </w:tc>
      </w:tr>
      <w:tr w14:paraId="040AF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1F95398">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AA948C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88418B2">
                  <w:pPr>
                    <w:pStyle w:val="50"/>
                    <w:framePr w:wrap="notBeside" w:vAnchor="page" w:hAnchor="page" w:x="1372" w:y="568"/>
                    <w:ind w:left="420" w:right="624"/>
                    <w:rPr>
                      <w:rFonts w:ascii="宋体" w:hAnsi="宋体"/>
                      <w:sz w:val="28"/>
                      <w:szCs w:val="28"/>
                    </w:rPr>
                  </w:pPr>
                </w:p>
              </w:tc>
            </w:tr>
          </w:tbl>
          <w:p w14:paraId="64E2CE7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hint="eastAsia" w:ascii="黑体" w:hAnsi="黑体" w:eastAsia="黑体" w:cs="Times New Roman"/>
                <w:kern w:val="2"/>
                <w:sz w:val="21"/>
                <w:szCs w:val="21"/>
                <w:lang w:val="en-US" w:eastAsia="zh-CN" w:bidi="ar-SA"/>
              </w:rPr>
              <w:fldChar w:fldCharType="begin">
                <w:ffData>
                  <w:name w:val="CSDN"/>
                  <w:enabled/>
                  <w:calcOnExit w:val="0"/>
                  <w:textInput>
                    <w:default w:val="C 30"/>
                  </w:textInput>
                </w:ffData>
              </w:fldChar>
            </w:r>
            <w:r>
              <w:rPr>
                <w:rFonts w:hint="eastAsia" w:ascii="黑体" w:hAnsi="黑体" w:eastAsia="黑体" w:cs="Times New Roman"/>
                <w:kern w:val="2"/>
                <w:sz w:val="21"/>
                <w:szCs w:val="21"/>
                <w:lang w:val="en-US" w:eastAsia="zh-CN" w:bidi="ar-SA"/>
              </w:rPr>
              <w:instrText xml:space="preserve">FORMTEXT</w:instrText>
            </w:r>
            <w:r>
              <w:rPr>
                <w:rFonts w:hint="eastAsia" w:ascii="黑体" w:hAnsi="黑体" w:eastAsia="黑体" w:cs="Times New Roman"/>
                <w:kern w:val="2"/>
                <w:sz w:val="21"/>
                <w:szCs w:val="21"/>
                <w:lang w:val="en-US" w:eastAsia="zh-CN" w:bidi="ar-SA"/>
              </w:rPr>
              <w:fldChar w:fldCharType="separate"/>
            </w:r>
            <w:r>
              <w:rPr>
                <w:rFonts w:hint="eastAsia" w:ascii="黑体" w:hAnsi="黑体" w:eastAsia="黑体" w:cs="Times New Roman"/>
                <w:kern w:val="2"/>
                <w:sz w:val="21"/>
                <w:szCs w:val="21"/>
                <w:lang w:val="en-US" w:eastAsia="zh-CN" w:bidi="ar-SA"/>
              </w:rPr>
              <w:t>C 30</w:t>
            </w:r>
            <w:r>
              <w:rPr>
                <w:rFonts w:hint="eastAsia" w:ascii="黑体" w:hAnsi="黑体" w:eastAsia="黑体" w:cs="Times New Roman"/>
                <w:kern w:val="2"/>
                <w:sz w:val="21"/>
                <w:szCs w:val="21"/>
                <w:lang w:val="en-US" w:eastAsia="zh-CN" w:bidi="ar-SA"/>
              </w:rPr>
              <w:fldChar w:fldCharType="end"/>
            </w:r>
            <w:bookmarkEnd w:id="1"/>
          </w:p>
        </w:tc>
      </w:tr>
    </w:tbl>
    <w:p w14:paraId="49DEEE7F">
      <w:pPr>
        <w:pStyle w:val="51"/>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5B1250E5">
      <w:pPr>
        <w:pStyle w:val="196"/>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FDSA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202X</w:t>
      </w:r>
      <w:r>
        <w:fldChar w:fldCharType="end"/>
      </w:r>
      <w:bookmarkEnd w:id="5"/>
    </w:p>
    <w:p w14:paraId="57384382">
      <w:pPr>
        <w:pStyle w:val="197"/>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BE7051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69716E7">
      <w:pPr>
        <w:pStyle w:val="51"/>
        <w:framePr w:w="9639" w:h="6976" w:hRule="exact" w:hSpace="0" w:vSpace="0" w:wrap="around" w:hAnchor="page" w:y="6408"/>
        <w:jc w:val="center"/>
        <w:rPr>
          <w:rFonts w:ascii="黑体" w:hAnsi="黑体" w:eastAsia="黑体"/>
          <w:b w:val="0"/>
          <w:bCs w:val="0"/>
          <w:w w:val="100"/>
        </w:rPr>
      </w:pPr>
    </w:p>
    <w:p w14:paraId="259DCD61">
      <w:pPr>
        <w:pStyle w:val="198"/>
        <w:framePr w:h="6974" w:hRule="exact" w:wrap="around" w:x="1419" w:anchorLock="1"/>
      </w:pPr>
      <w:bookmarkStart w:id="7" w:name="CSTD_NAME"/>
      <w:r>
        <w:rPr>
          <w:rFonts w:hint="eastAsia" w:ascii="黑体" w:hAnsi="黑体" w:eastAsia="黑体" w:cs="Times New Roman"/>
          <w:bCs/>
          <w:color w:val="auto"/>
          <w:sz w:val="52"/>
          <w:lang w:val="en-US" w:eastAsia="zh-CN" w:bidi="ar-SA"/>
        </w:rPr>
        <w:fldChar w:fldCharType="begin">
          <w:ffData>
            <w:name w:val="CSTD_NAME"/>
            <w:enabled/>
            <w:calcOnExit w:val="0"/>
            <w:textInput>
              <w:default w:val="重组胶原蛋白纯化工艺通用要求"/>
            </w:textInput>
          </w:ffData>
        </w:fldChar>
      </w:r>
      <w:r>
        <w:rPr>
          <w:rFonts w:hint="eastAsia" w:ascii="黑体" w:hAnsi="黑体" w:eastAsia="黑体" w:cs="Times New Roman"/>
          <w:bCs/>
          <w:color w:val="auto"/>
          <w:sz w:val="52"/>
          <w:lang w:val="en-US" w:eastAsia="zh-CN" w:bidi="ar-SA"/>
        </w:rPr>
        <w:instrText xml:space="preserve">FORMTEXT</w:instrText>
      </w:r>
      <w:r>
        <w:rPr>
          <w:rFonts w:hint="eastAsia" w:ascii="黑体" w:hAnsi="黑体" w:eastAsia="黑体" w:cs="Times New Roman"/>
          <w:bCs/>
          <w:color w:val="auto"/>
          <w:sz w:val="52"/>
          <w:lang w:val="en-US" w:eastAsia="zh-CN" w:bidi="ar-SA"/>
        </w:rPr>
        <w:fldChar w:fldCharType="separate"/>
      </w:r>
      <w:r>
        <w:rPr>
          <w:rFonts w:hint="eastAsia" w:ascii="黑体" w:hAnsi="黑体" w:eastAsia="黑体" w:cs="Times New Roman"/>
          <w:bCs/>
          <w:color w:val="auto"/>
          <w:sz w:val="52"/>
          <w:lang w:val="en-US" w:eastAsia="zh-CN" w:bidi="ar-SA"/>
        </w:rPr>
        <w:t>重组胶原蛋白纯化工艺通用要求</w:t>
      </w:r>
      <w:r>
        <w:rPr>
          <w:rFonts w:hint="eastAsia" w:ascii="黑体" w:hAnsi="黑体" w:eastAsia="黑体" w:cs="Times New Roman"/>
          <w:bCs/>
          <w:color w:val="auto"/>
          <w:sz w:val="52"/>
          <w:lang w:val="en-US" w:eastAsia="zh-CN" w:bidi="ar-SA"/>
        </w:rPr>
        <w:fldChar w:fldCharType="end"/>
      </w:r>
      <w:bookmarkEnd w:id="7"/>
    </w:p>
    <w:p w14:paraId="2ABF2459">
      <w:pPr>
        <w:framePr w:w="9639" w:h="6974" w:hRule="exact" w:wrap="around" w:vAnchor="page" w:hAnchor="page" w:x="1419" w:y="6408" w:anchorLock="1"/>
        <w:ind w:left="-1418"/>
      </w:pPr>
    </w:p>
    <w:p w14:paraId="4D55E3F4">
      <w:pPr>
        <w:pStyle w:val="126"/>
        <w:framePr w:w="9639" w:h="6974" w:hRule="exact" w:wrap="around" w:vAnchor="page" w:hAnchor="page" w:x="1419" w:y="6408" w:anchorLock="1"/>
        <w:textAlignment w:val="bottom"/>
        <w:rPr>
          <w:rFonts w:eastAsia="黑体"/>
          <w:szCs w:val="28"/>
        </w:rPr>
      </w:pPr>
      <w:r>
        <w:rPr>
          <w:rFonts w:hint="eastAsia" w:eastAsia="黑体"/>
          <w:szCs w:val="28"/>
        </w:rPr>
        <w:t xml:space="preserve">General requirements </w:t>
      </w:r>
      <w:r>
        <w:rPr>
          <w:rFonts w:hint="eastAsia" w:eastAsia="黑体"/>
          <w:szCs w:val="28"/>
          <w:lang w:val="en-US" w:eastAsia="zh-CN"/>
        </w:rPr>
        <w:t>of</w:t>
      </w:r>
      <w:r>
        <w:rPr>
          <w:rFonts w:hint="eastAsia" w:eastAsia="黑体"/>
          <w:szCs w:val="28"/>
        </w:rPr>
        <w:t xml:space="preserve"> the purification process </w:t>
      </w:r>
      <w:r>
        <w:rPr>
          <w:rFonts w:hint="eastAsia" w:eastAsia="黑体"/>
          <w:szCs w:val="28"/>
          <w:lang w:val="en-US" w:eastAsia="zh-CN"/>
        </w:rPr>
        <w:t>for</w:t>
      </w:r>
      <w:r>
        <w:rPr>
          <w:rFonts w:hint="eastAsia" w:eastAsia="黑体"/>
          <w:szCs w:val="28"/>
        </w:rPr>
        <w:t xml:space="preserve"> </w:t>
      </w:r>
      <w:r>
        <w:rPr>
          <w:rFonts w:hint="eastAsia" w:eastAsia="黑体"/>
          <w:szCs w:val="28"/>
          <w:lang w:val="en-US" w:eastAsia="zh-CN"/>
        </w:rPr>
        <w:t>r</w:t>
      </w:r>
      <w:r>
        <w:rPr>
          <w:rFonts w:hint="eastAsia" w:eastAsia="黑体"/>
          <w:szCs w:val="28"/>
        </w:rPr>
        <w:t>ecombinant collagen protein</w:t>
      </w:r>
    </w:p>
    <w:p w14:paraId="6ECCB2DE">
      <w:pPr>
        <w:framePr w:w="9639" w:h="6974" w:hRule="exact" w:wrap="around" w:vAnchor="page" w:hAnchor="page" w:x="1419" w:y="6408" w:anchorLock="1"/>
        <w:spacing w:line="760" w:lineRule="exact"/>
        <w:ind w:left="-1418"/>
      </w:pPr>
    </w:p>
    <w:p w14:paraId="3BD4EF17">
      <w:pPr>
        <w:pStyle w:val="126"/>
        <w:framePr w:w="9639" w:h="6974" w:hRule="exact" w:wrap="around" w:vAnchor="page" w:hAnchor="page" w:x="1419" w:y="6408" w:anchorLock="1"/>
        <w:textAlignment w:val="bottom"/>
        <w:rPr>
          <w:rFonts w:eastAsia="黑体"/>
          <w:szCs w:val="28"/>
        </w:rPr>
      </w:pPr>
    </w:p>
    <w:p w14:paraId="24EC360D">
      <w:pPr>
        <w:pStyle w:val="126"/>
        <w:framePr w:w="9639" w:h="6974" w:hRule="exact" w:wrap="around" w:vAnchor="page" w:hAnchor="page" w:x="1419" w:y="6408" w:anchorLock="1"/>
        <w:spacing w:before="440" w:after="160"/>
        <w:textAlignment w:val="bottom"/>
        <w:rPr>
          <w:sz w:val="24"/>
          <w:szCs w:val="28"/>
        </w:rPr>
      </w:pPr>
      <w:r>
        <w:rPr>
          <w:rFonts w:hint="eastAsia"/>
          <w:sz w:val="30"/>
          <w:szCs w:val="30"/>
        </w:rPr>
        <w:t>（</w:t>
      </w:r>
      <w:r>
        <w:rPr>
          <w:rFonts w:hint="eastAsia"/>
          <w:sz w:val="30"/>
          <w:szCs w:val="30"/>
          <w:lang w:val="en-US" w:eastAsia="zh-CN"/>
        </w:rPr>
        <w:t>征求意见</w:t>
      </w:r>
      <w:r>
        <w:rPr>
          <w:rFonts w:hint="eastAsia"/>
          <w:sz w:val="30"/>
          <w:szCs w:val="30"/>
        </w:rPr>
        <w:t>稿）</w:t>
      </w:r>
    </w:p>
    <w:p w14:paraId="55E83522">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2184E0D0">
      <w:pPr>
        <w:pStyle w:val="194"/>
        <w:framePr w:wrap="around" w:y="14176"/>
      </w:pPr>
      <w:bookmarkStart w:id="9" w:name="PLSH_DATE_Y"/>
      <w:r>
        <w:rPr>
          <w:rFonts w:ascii="黑体"/>
        </w:rPr>
        <w:fldChar w:fldCharType="begin">
          <w:ffData>
            <w:name w:val="PLSH_DATE_Y"/>
            <w:enabled/>
            <w:calcOnExit w:val="0"/>
            <w:textInput>
              <w:default w:val="202X"/>
              <w:maxLength w:val="4"/>
            </w:textInput>
          </w:ffData>
        </w:fldChar>
      </w:r>
      <w:r>
        <w:rPr>
          <w:rFonts w:ascii="黑体"/>
        </w:rPr>
        <w:instrText xml:space="preserve">FORMTEXT</w:instrText>
      </w:r>
      <w:r>
        <w:rPr>
          <w:rFonts w:ascii="黑体"/>
        </w:rPr>
        <w:fldChar w:fldCharType="separate"/>
      </w:r>
      <w:r>
        <w:rPr>
          <w:rFonts w:ascii="黑体"/>
        </w:rPr>
        <w:t>202X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13A3B5AD">
      <w:pPr>
        <w:pStyle w:val="195"/>
        <w:framePr w:wrap="around" w:y="14176"/>
      </w:pPr>
      <w:bookmarkStart w:id="12" w:name="CROT_DATE_Y"/>
      <w:r>
        <w:rPr>
          <w:rFonts w:ascii="黑体"/>
        </w:rPr>
        <w:fldChar w:fldCharType="begin">
          <w:ffData>
            <w:name w:val="CROT_DATE_Y"/>
            <w:enabled/>
            <w:calcOnExit w:val="0"/>
            <w:textInput>
              <w:default w:val="202X"/>
              <w:maxLength w:val="4"/>
            </w:textInput>
          </w:ffData>
        </w:fldChar>
      </w:r>
      <w:r>
        <w:rPr>
          <w:rFonts w:ascii="黑体"/>
        </w:rPr>
        <w:instrText xml:space="preserve">FORMTEXT</w:instrText>
      </w:r>
      <w:r>
        <w:rPr>
          <w:rFonts w:ascii="黑体"/>
        </w:rPr>
        <w:fldChar w:fldCharType="separate"/>
      </w:r>
      <w:r>
        <w:rPr>
          <w:rFonts w:ascii="黑体"/>
        </w:rPr>
        <w:t>202X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3A0DF828">
      <w:pPr>
        <w:pStyle w:val="152"/>
        <w:framePr w:h="584" w:hRule="exact" w:hSpace="181" w:vSpace="181" w:wrap="around" w:y="14800"/>
        <w:rPr>
          <w:rFonts w:hAnsi="黑体"/>
        </w:rPr>
      </w:pPr>
      <w:r>
        <w:rPr>
          <w:rFonts w:hint="eastAsia" w:hAnsi="黑体"/>
          <w:w w:val="100"/>
          <w:sz w:val="28"/>
        </w:rPr>
        <w:t>中国食品药品企业质量安全促进会</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8A8456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24CC1BC">
      <w:pPr>
        <w:pStyle w:val="92"/>
        <w:spacing w:after="360"/>
      </w:pPr>
      <w:bookmarkStart w:id="15" w:name="BookMark1"/>
      <w:bookmarkStart w:id="16" w:name="_Toc208239520"/>
      <w:r>
        <w:rPr>
          <w:rFonts w:hint="eastAsia"/>
          <w:spacing w:val="320"/>
        </w:rPr>
        <w:t>目</w:t>
      </w:r>
      <w:r>
        <w:rPr>
          <w:rFonts w:hint="eastAsia"/>
        </w:rPr>
        <w:t>次</w:t>
      </w:r>
    </w:p>
    <w:p w14:paraId="25A39C94">
      <w:pPr>
        <w:pStyle w:val="20"/>
        <w:tabs>
          <w:tab w:val="right" w:leader="dot" w:pos="9354"/>
        </w:tabs>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"标准文件_一级条标题,2,标准文件_附录一级条标题,2,"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_Toc30876 </w:instrText>
      </w:r>
      <w:r>
        <w:rPr>
          <w:rFonts w:hint="eastAsia" w:ascii="宋体" w:hAnsi="宋体" w:eastAsia="宋体" w:cs="宋体"/>
        </w:rPr>
        <w:fldChar w:fldCharType="separate"/>
      </w:r>
      <w:r>
        <w:rPr>
          <w:rFonts w:hint="eastAsia"/>
          <w:spacing w:val="320"/>
        </w:rPr>
        <w:t>前</w:t>
      </w:r>
      <w:r>
        <w:rPr>
          <w:rFonts w:hint="eastAsia"/>
        </w:rPr>
        <w:t>言</w:t>
      </w:r>
      <w:r>
        <w:tab/>
      </w:r>
      <w:r>
        <w:fldChar w:fldCharType="begin"/>
      </w:r>
      <w:r>
        <w:instrText xml:space="preserve"> PAGEREF _Toc30876 \h </w:instrText>
      </w:r>
      <w:r>
        <w:fldChar w:fldCharType="separate"/>
      </w:r>
      <w:r>
        <w:t>II</w:t>
      </w:r>
      <w:r>
        <w:fldChar w:fldCharType="end"/>
      </w:r>
      <w:r>
        <w:rPr>
          <w:rFonts w:hint="eastAsia" w:ascii="宋体" w:hAnsi="宋体" w:eastAsia="宋体" w:cs="宋体"/>
        </w:rPr>
        <w:fldChar w:fldCharType="end"/>
      </w:r>
    </w:p>
    <w:p w14:paraId="205003A3">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_Toc15351 </w:instrText>
      </w:r>
      <w:r>
        <w:rPr>
          <w:rFonts w:hint="eastAsia" w:ascii="宋体" w:hAnsi="宋体" w:eastAsia="宋体" w:cs="宋体"/>
        </w:rPr>
        <w:fldChar w:fldCharType="separate"/>
      </w:r>
      <w:r>
        <w:rPr>
          <w:rFonts w:hint="eastAsia" w:ascii="宋体" w:hAnsi="宋体" w:eastAsia="宋体" w:cs="宋体"/>
          <w:i w:val="0"/>
          <w:lang w:val="en-US" w:eastAsia="zh-CN" w:bidi="ar-SA"/>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_Toc15351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64094CFF">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_Toc23268 </w:instrText>
      </w:r>
      <w:r>
        <w:rPr>
          <w:rFonts w:hint="eastAsia" w:ascii="宋体" w:hAnsi="宋体" w:eastAsia="宋体" w:cs="宋体"/>
        </w:rPr>
        <w:fldChar w:fldCharType="separate"/>
      </w:r>
      <w:r>
        <w:rPr>
          <w:rFonts w:hint="eastAsia" w:ascii="宋体" w:hAnsi="宋体" w:eastAsia="宋体" w:cs="宋体"/>
          <w:i w:val="0"/>
          <w:lang w:val="en-US" w:eastAsia="zh-CN" w:bidi="ar-SA"/>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_Toc23268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99CB6EC">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_Toc10452 </w:instrText>
      </w:r>
      <w:r>
        <w:rPr>
          <w:rFonts w:hint="eastAsia" w:ascii="宋体" w:hAnsi="宋体" w:eastAsia="宋体" w:cs="宋体"/>
        </w:rPr>
        <w:fldChar w:fldCharType="separate"/>
      </w:r>
      <w:r>
        <w:rPr>
          <w:rFonts w:hint="eastAsia" w:ascii="宋体" w:hAnsi="宋体" w:eastAsia="宋体" w:cs="宋体"/>
          <w:i w:val="0"/>
          <w:lang w:val="en-US" w:eastAsia="zh-CN" w:bidi="ar-SA"/>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_Toc10452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2465E557">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_Toc12306 </w:instrText>
      </w:r>
      <w:r>
        <w:rPr>
          <w:rFonts w:hint="eastAsia" w:ascii="宋体" w:hAnsi="宋体" w:eastAsia="宋体" w:cs="宋体"/>
        </w:rPr>
        <w:fldChar w:fldCharType="separate"/>
      </w:r>
      <w:r>
        <w:rPr>
          <w:rFonts w:hint="eastAsia" w:ascii="宋体" w:hAnsi="宋体" w:eastAsia="宋体" w:cs="宋体"/>
          <w:i w:val="0"/>
          <w:lang w:val="en-US" w:eastAsia="zh-CN" w:bidi="ar-SA"/>
        </w:rPr>
        <w:t>4　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_Toc12306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7E902B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_Toc10125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　生产环境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_Toc10125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541856E">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_Toc22299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4.2　设备要求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_Toc22299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4ACF9E56">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_Toc6309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4.3　人员要求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_Toc6309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3EF0584B">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_Toc27868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4.4　原材料要求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_Toc27868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18DD29CC">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_Toc18791 </w:instrText>
      </w:r>
      <w:r>
        <w:rPr>
          <w:rFonts w:hint="eastAsia" w:ascii="宋体" w:hAnsi="宋体" w:eastAsia="宋体" w:cs="宋体"/>
        </w:rPr>
        <w:fldChar w:fldCharType="separate"/>
      </w:r>
      <w:r>
        <w:rPr>
          <w:rFonts w:hint="eastAsia" w:ascii="宋体" w:hAnsi="宋体" w:eastAsia="宋体" w:cs="宋体"/>
          <w:i w:val="0"/>
          <w:lang w:val="en-US" w:eastAsia="zh-CN" w:bidi="ar-SA"/>
        </w:rPr>
        <w:t>5　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_Toc18791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5B9E5947">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_Toc32037 </w:instrText>
      </w:r>
      <w:r>
        <w:rPr>
          <w:rFonts w:hint="eastAsia" w:ascii="宋体" w:hAnsi="宋体" w:eastAsia="宋体" w:cs="宋体"/>
        </w:rPr>
        <w:fldChar w:fldCharType="separate"/>
      </w:r>
      <w:r>
        <w:rPr>
          <w:rFonts w:hint="eastAsia" w:ascii="宋体" w:hAnsi="宋体" w:eastAsia="宋体" w:cs="宋体"/>
          <w:i w:val="0"/>
          <w:lang w:val="en-US" w:eastAsia="zh-CN" w:bidi="ar-SA"/>
        </w:rPr>
        <w:t>6　工艺控制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_Toc32037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4C6C836">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_Toc18175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　工艺流程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_Toc18175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294A890">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_Toc13988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6.2　发酵液/细胞裂解液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_Toc13988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0FB94A8">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_Toc19148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6.3　收获与澄清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_Toc19148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4E1899C2">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_Toc17662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6.4　初级纯化（捕获）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_Toc17662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768B745D">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_Toc21146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6.5　精纯（精制）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_Toc21146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FEEBF30">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_Toc5283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6.6　成品处理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_Toc5283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448A3CBB">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_Toc5704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6.7　质量检验与放行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_Toc5704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13C52A37">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_Toc27294 </w:instrText>
      </w:r>
      <w:r>
        <w:rPr>
          <w:rFonts w:hint="eastAsia" w:ascii="宋体" w:hAnsi="宋体" w:eastAsia="宋体" w:cs="宋体"/>
        </w:rPr>
        <w:fldChar w:fldCharType="separate"/>
      </w:r>
      <w:r>
        <w:rPr>
          <w:rFonts w:hint="eastAsia" w:ascii="宋体" w:hAnsi="宋体" w:eastAsia="宋体" w:cs="宋体"/>
          <w:i w:val="0"/>
          <w:lang w:val="en-US" w:eastAsia="zh-CN" w:bidi="ar-SA"/>
        </w:rPr>
        <w:t>7　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_Toc27294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39C949A2">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_Toc1837 </w:instrText>
      </w:r>
      <w:r>
        <w:rPr>
          <w:rFonts w:hint="eastAsia" w:ascii="宋体" w:hAnsi="宋体" w:eastAsia="宋体" w:cs="宋体"/>
        </w:rPr>
        <w:fldChar w:fldCharType="separate"/>
      </w:r>
      <w:r>
        <w:rPr>
          <w:rFonts w:hint="eastAsia" w:ascii="宋体" w:hAnsi="宋体" w:eastAsia="宋体" w:cs="宋体"/>
          <w:i w:val="0"/>
          <w:lang w:val="en-US" w:eastAsia="zh-CN" w:bidi="ar-SA"/>
        </w:rPr>
        <w:t>8　质量控制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_Toc1837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3AC49FF6">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_Toc3449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8.1　原材料质量控制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_Toc3449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14:paraId="013AC14D">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_Toc11418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8.2　设备与系统控制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_Toc11418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2592633A">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_Toc10070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8.3　过程质量控制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_Toc10070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7FC6C60B">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_Toc9270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8.4　偏差</w:t>
      </w:r>
      <w:r>
        <w:rPr>
          <w:rFonts w:hint="eastAsia" w:ascii="宋体" w:hAnsi="宋体" w:eastAsia="宋体" w:cs="宋体"/>
          <w:lang w:val="en-US" w:eastAsia="zh-CN"/>
        </w:rPr>
        <w:t>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_Toc9270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63EAE0EF">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_Toc17929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8.5　变更控制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_Toc17929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14A16421">
      <w:pPr>
        <w:pStyle w:val="25"/>
        <w:tabs>
          <w:tab w:val="right" w:leader="dot" w:pos="9354"/>
          <w:tab w:val="clear"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_Toc14374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8.6　记录与文件管理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_Toc14374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2A2CF05">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ascii="宋体" w:hAnsi="宋体" w:eastAsia="宋体" w:cs="宋体"/>
        </w:rPr>
        <w:fldChar w:fldCharType="end"/>
      </w:r>
    </w:p>
    <w:bookmarkEnd w:id="15"/>
    <w:p w14:paraId="79CD3219">
      <w:pPr>
        <w:pStyle w:val="90"/>
        <w:spacing w:before="560" w:after="360"/>
      </w:pPr>
      <w:bookmarkStart w:id="17" w:name="_Toc30876"/>
      <w:bookmarkStart w:id="18" w:name="_Toc10763"/>
      <w:bookmarkStart w:id="19" w:name="BookMark2"/>
      <w:r>
        <w:rPr>
          <w:rFonts w:hint="eastAsia"/>
          <w:spacing w:val="320"/>
        </w:rPr>
        <w:t>前</w:t>
      </w:r>
      <w:r>
        <w:rPr>
          <w:rFonts w:hint="eastAsia"/>
        </w:rPr>
        <w:t>言</w:t>
      </w:r>
      <w:bookmarkEnd w:id="16"/>
      <w:bookmarkEnd w:id="17"/>
      <w:bookmarkEnd w:id="18"/>
    </w:p>
    <w:p w14:paraId="59D84325">
      <w:pPr>
        <w:pStyle w:val="57"/>
        <w:ind w:firstLine="420"/>
      </w:pPr>
      <w:r>
        <w:rPr>
          <w:rFonts w:hint="eastAsia"/>
        </w:rPr>
        <w:t>本文件按照GB/T 1.1—2020《标准化工作导则  第1部分：标准化文件的结构和起草规则》的规定起草。</w:t>
      </w:r>
    </w:p>
    <w:p w14:paraId="54597CD9">
      <w:pPr>
        <w:pStyle w:val="57"/>
        <w:ind w:firstLine="420"/>
      </w:pPr>
      <w:r>
        <w:rPr>
          <w:rFonts w:hint="eastAsia"/>
        </w:rPr>
        <w:t>请注意本文件的某些内容有可能涉及专利。本文件的发布机构不承担识别专利的责任。</w:t>
      </w:r>
    </w:p>
    <w:p w14:paraId="5D5723FC">
      <w:pPr>
        <w:pStyle w:val="57"/>
        <w:ind w:firstLine="420"/>
      </w:pPr>
      <w:r>
        <w:rPr>
          <w:rFonts w:hint="eastAsia"/>
        </w:rPr>
        <w:t>本文件由中国食品药品企业质量安全促进会提出并归口。</w:t>
      </w:r>
    </w:p>
    <w:p w14:paraId="08F141D4">
      <w:pPr>
        <w:pStyle w:val="57"/>
        <w:ind w:firstLine="420"/>
      </w:pPr>
      <w:r>
        <w:rPr>
          <w:rFonts w:hint="eastAsia"/>
        </w:rPr>
        <w:t>本文件起草单位：</w:t>
      </w:r>
    </w:p>
    <w:p w14:paraId="628CC593">
      <w:pPr>
        <w:pStyle w:val="57"/>
        <w:ind w:firstLine="420"/>
      </w:pPr>
      <w:r>
        <w:rPr>
          <w:rFonts w:hint="eastAsia"/>
        </w:rPr>
        <w:t>本文件主要起草人：</w:t>
      </w:r>
    </w:p>
    <w:p w14:paraId="4C5BDADC">
      <w:pPr>
        <w:pStyle w:val="57"/>
        <w:ind w:firstLine="420"/>
      </w:pPr>
    </w:p>
    <w:p w14:paraId="3C32A3C8">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19"/>
    <w:p w14:paraId="529CC766">
      <w:pPr>
        <w:spacing w:line="20" w:lineRule="exact"/>
        <w:jc w:val="center"/>
        <w:rPr>
          <w:rFonts w:ascii="黑体" w:hAnsi="黑体" w:eastAsia="黑体"/>
          <w:sz w:val="32"/>
          <w:szCs w:val="32"/>
        </w:rPr>
      </w:pPr>
      <w:bookmarkStart w:id="20" w:name="BookMark4"/>
    </w:p>
    <w:p w14:paraId="68DCA5F2">
      <w:pPr>
        <w:spacing w:line="20" w:lineRule="exact"/>
        <w:jc w:val="center"/>
        <w:rPr>
          <w:rFonts w:ascii="黑体" w:hAnsi="黑体" w:eastAsia="黑体"/>
          <w:sz w:val="32"/>
          <w:szCs w:val="32"/>
        </w:rPr>
      </w:pPr>
    </w:p>
    <w:p w14:paraId="6D24693F">
      <w:pPr>
        <w:pStyle w:val="178"/>
        <w:spacing w:before="240" w:beforeLines="100" w:after="528" w:afterLines="220"/>
      </w:pPr>
      <w:sdt>
        <w:sdtPr>
          <w:tag w:val="NEW_STAND_NAME"/>
          <w:id w:val="595910757"/>
          <w:lock w:val="sdtLocked"/>
          <w:placeholder>
            <w:docPart w:val="3B316CE4465D47F98C68F69647A9E61E"/>
          </w:placeholder>
        </w:sdtPr>
        <w:sdtContent>
          <w:bookmarkStart w:id="21" w:name="NEW_STAND_NAME"/>
          <w:r>
            <w:rPr>
              <w:rFonts w:hint="eastAsia"/>
              <w:lang w:eastAsia="zh-CN"/>
            </w:rPr>
            <w:t>重组胶原蛋白纯化工艺通用要求</w:t>
          </w:r>
        </w:sdtContent>
      </w:sdt>
    </w:p>
    <w:bookmarkEnd w:id="21"/>
    <w:p w14:paraId="682B718B">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22" w:name="_Toc4393"/>
      <w:bookmarkStart w:id="23" w:name="_Toc26986771"/>
      <w:bookmarkStart w:id="24" w:name="_Toc26648465"/>
      <w:bookmarkStart w:id="25" w:name="_Toc26718930"/>
      <w:bookmarkStart w:id="26" w:name="_Toc24884211"/>
      <w:bookmarkStart w:id="27" w:name="_Toc208239521"/>
      <w:bookmarkStart w:id="28" w:name="_Toc17233325"/>
      <w:bookmarkStart w:id="29" w:name="_Toc97192964"/>
      <w:bookmarkStart w:id="30" w:name="_Toc26986530"/>
      <w:bookmarkStart w:id="31" w:name="_Toc24884218"/>
      <w:bookmarkStart w:id="32" w:name="_Toc15351"/>
      <w:bookmarkStart w:id="33" w:name="_Toc17233333"/>
      <w:r>
        <w:rPr>
          <w:rFonts w:hint="eastAsia" w:ascii="黑体" w:hAnsi="Times New Roman" w:eastAsia="黑体" w:cs="Times New Roman"/>
          <w:b w:val="0"/>
          <w:i w:val="0"/>
          <w:color w:val="auto"/>
          <w:sz w:val="21"/>
          <w:lang w:val="en-US" w:eastAsia="zh-CN" w:bidi="ar-SA"/>
        </w:rPr>
        <w:t>1　范围</w:t>
      </w:r>
      <w:bookmarkEnd w:id="22"/>
      <w:bookmarkEnd w:id="23"/>
      <w:bookmarkEnd w:id="24"/>
      <w:bookmarkEnd w:id="25"/>
      <w:bookmarkEnd w:id="26"/>
      <w:bookmarkEnd w:id="27"/>
      <w:bookmarkEnd w:id="28"/>
      <w:bookmarkEnd w:id="29"/>
      <w:bookmarkEnd w:id="30"/>
      <w:bookmarkEnd w:id="31"/>
      <w:bookmarkEnd w:id="32"/>
      <w:bookmarkEnd w:id="33"/>
    </w:p>
    <w:p w14:paraId="4B0C064A">
      <w:pPr>
        <w:pStyle w:val="57"/>
        <w:ind w:firstLine="420"/>
        <w:rPr>
          <w:rFonts w:hint="eastAsia"/>
        </w:rPr>
      </w:pPr>
      <w:bookmarkStart w:id="34" w:name="_Toc24884219"/>
      <w:bookmarkStart w:id="35" w:name="_Toc17233326"/>
      <w:bookmarkStart w:id="36" w:name="_Toc24884212"/>
      <w:bookmarkStart w:id="37" w:name="_Toc26648466"/>
      <w:bookmarkStart w:id="38" w:name="_Toc17233334"/>
      <w:r>
        <w:rPr>
          <w:rFonts w:hint="eastAsia"/>
        </w:rPr>
        <w:t>本文件规定了重组胶原蛋白纯化工艺的一般要求、</w:t>
      </w:r>
      <w:r>
        <w:rPr>
          <w:rFonts w:hint="eastAsia"/>
          <w:lang w:eastAsia="zh-CN"/>
        </w:rPr>
        <w:t>技术</w:t>
      </w:r>
      <w:r>
        <w:rPr>
          <w:rFonts w:hint="eastAsia"/>
        </w:rPr>
        <w:t>要求、工艺控制、试验方法</w:t>
      </w:r>
      <w:r>
        <w:rPr>
          <w:rFonts w:hint="eastAsia"/>
          <w:lang w:eastAsia="zh-CN"/>
        </w:rPr>
        <w:t>、质量控制</w:t>
      </w:r>
      <w:r>
        <w:rPr>
          <w:rFonts w:hint="eastAsia"/>
        </w:rPr>
        <w:t>。</w:t>
      </w:r>
    </w:p>
    <w:p w14:paraId="2D10EA36">
      <w:pPr>
        <w:pStyle w:val="57"/>
        <w:ind w:firstLine="420"/>
        <w:rPr>
          <w:rFonts w:hint="eastAsia"/>
        </w:rPr>
      </w:pPr>
      <w:r>
        <w:rPr>
          <w:rFonts w:hint="eastAsia"/>
        </w:rPr>
        <w:t>本文件适用于以微生物、酵母、哺乳动物细胞等为表达体系生产的重组胶原蛋白的纯化工艺的开发、验证、生产和质量控制。</w:t>
      </w:r>
    </w:p>
    <w:p w14:paraId="7F580F7C">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39" w:name="_Toc23268"/>
      <w:bookmarkStart w:id="40" w:name="_Toc3843"/>
      <w:bookmarkStart w:id="41" w:name="_Toc97192965"/>
      <w:bookmarkStart w:id="42" w:name="_Toc208239522"/>
      <w:bookmarkStart w:id="43" w:name="_Toc26718931"/>
      <w:bookmarkStart w:id="44" w:name="_Toc26986531"/>
      <w:bookmarkStart w:id="45" w:name="_Toc26986772"/>
      <w:r>
        <w:rPr>
          <w:rFonts w:hint="eastAsia" w:ascii="黑体" w:hAnsi="Times New Roman" w:eastAsia="黑体" w:cs="Times New Roman"/>
          <w:b w:val="0"/>
          <w:i w:val="0"/>
          <w:color w:val="auto"/>
          <w:sz w:val="21"/>
          <w:lang w:val="en-US" w:eastAsia="zh-CN" w:bidi="ar-SA"/>
        </w:rPr>
        <w:t>2　规范性引用文件</w:t>
      </w:r>
      <w:bookmarkEnd w:id="34"/>
      <w:bookmarkEnd w:id="35"/>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52F8444021F4281AF35109EB2F14F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23215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46C610">
      <w:pPr>
        <w:pStyle w:val="57"/>
        <w:ind w:firstLine="420"/>
        <w:rPr>
          <w:rFonts w:hint="default"/>
          <w:lang w:val="en-US" w:eastAsia="zh-CN"/>
        </w:rPr>
      </w:pPr>
      <w:r>
        <w:rPr>
          <w:rFonts w:hint="default"/>
          <w:lang w:val="en-US" w:eastAsia="zh-CN"/>
        </w:rPr>
        <w:t>GB 50457 医药工业洁净厂房设计标准</w:t>
      </w:r>
    </w:p>
    <w:p w14:paraId="241BD89A">
      <w:pPr>
        <w:pStyle w:val="57"/>
        <w:ind w:firstLine="420"/>
        <w:rPr>
          <w:rFonts w:hint="default"/>
          <w:lang w:val="en-US" w:eastAsia="zh-CN"/>
        </w:rPr>
      </w:pPr>
      <w:r>
        <w:rPr>
          <w:rFonts w:hint="default"/>
          <w:lang w:val="en-US" w:eastAsia="zh-CN"/>
        </w:rPr>
        <w:t>QB/T 4416</w:t>
      </w:r>
      <w:r>
        <w:rPr>
          <w:rFonts w:hint="eastAsia"/>
          <w:lang w:val="en-US" w:eastAsia="zh-CN"/>
        </w:rPr>
        <w:t xml:space="preserve"> </w:t>
      </w:r>
      <w:r>
        <w:rPr>
          <w:rFonts w:hint="default"/>
          <w:lang w:val="en-US" w:eastAsia="zh-CN"/>
        </w:rPr>
        <w:t>化妆品用原料 透明质酸钠</w:t>
      </w:r>
    </w:p>
    <w:p w14:paraId="44477992">
      <w:pPr>
        <w:pStyle w:val="57"/>
        <w:ind w:firstLine="420"/>
        <w:rPr>
          <w:rFonts w:hint="default"/>
          <w:lang w:val="en-US" w:eastAsia="zh-CN"/>
        </w:rPr>
      </w:pPr>
      <w:r>
        <w:rPr>
          <w:rFonts w:hint="eastAsia"/>
          <w:lang w:val="en-US" w:eastAsia="zh-CN"/>
        </w:rPr>
        <w:t>YY/T 1849 重组胶原蛋白</w:t>
      </w:r>
    </w:p>
    <w:p w14:paraId="649BC494">
      <w:pPr>
        <w:pStyle w:val="57"/>
        <w:ind w:firstLine="420"/>
        <w:rPr>
          <w:rFonts w:hint="default"/>
          <w:lang w:val="en-US" w:eastAsia="zh-CN"/>
        </w:rPr>
      </w:pPr>
      <w:r>
        <w:rPr>
          <w:rFonts w:hint="eastAsia"/>
        </w:rPr>
        <w:t>《中华人民共和国药典（2025年版）》（以下简称《药典》）</w:t>
      </w:r>
    </w:p>
    <w:p w14:paraId="6BB4696B">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46" w:name="_Toc24774"/>
      <w:bookmarkStart w:id="47" w:name="_Toc97192966"/>
      <w:bookmarkStart w:id="48" w:name="_Toc208239523"/>
      <w:bookmarkStart w:id="49" w:name="_Toc10452"/>
      <w:r>
        <w:rPr>
          <w:rFonts w:hint="eastAsia" w:ascii="黑体" w:hAnsi="Times New Roman" w:eastAsia="黑体" w:cs="Times New Roman"/>
          <w:b w:val="0"/>
          <w:i w:val="0"/>
          <w:color w:val="auto"/>
          <w:sz w:val="21"/>
          <w:lang w:val="en-US" w:eastAsia="zh-CN" w:bidi="ar-SA"/>
        </w:rPr>
        <w:t>3　术语和定义</w:t>
      </w:r>
      <w:bookmarkEnd w:id="46"/>
      <w:bookmarkEnd w:id="47"/>
      <w:bookmarkEnd w:id="48"/>
      <w:bookmarkEnd w:id="49"/>
    </w:p>
    <w:p w14:paraId="1310F470">
      <w:pPr>
        <w:pStyle w:val="57"/>
        <w:ind w:firstLine="420"/>
      </w:pPr>
      <w:sdt>
        <w:sdtPr>
          <w:id w:val="-1909835108"/>
          <w:placeholder>
            <w:docPart w:val="F92F88890D4C44B7816A2B70D8A3F8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50" w:name="_Toc26986532"/>
          <w:bookmarkEnd w:id="50"/>
          <w:r>
            <w:rPr>
              <w:rFonts w:hint="eastAsia"/>
            </w:rPr>
            <w:t>YY/T 1849</w:t>
          </w:r>
          <w:r>
            <w:t>界定的以及下列术语和定义适用于本文件。</w:t>
          </w:r>
        </w:sdtContent>
      </w:sdt>
    </w:p>
    <w:p w14:paraId="7DC8E711">
      <w:pPr>
        <w:pStyle w:val="106"/>
        <w:numPr>
          <w:ilvl w:val="0"/>
          <w:numId w:val="0"/>
        </w:numPr>
        <w:spacing w:before="120" w:after="120"/>
        <w:rPr>
          <w:rFonts w:hint="eastAsia" w:hAnsi="黑体" w:cs="黑体"/>
        </w:rPr>
      </w:pPr>
      <w:bookmarkStart w:id="51" w:name="_Toc10172"/>
      <w:bookmarkStart w:id="52" w:name="_Toc19918"/>
      <w:bookmarkStart w:id="53" w:name="_Toc6839"/>
      <w:r>
        <w:rPr>
          <w:rFonts w:hint="eastAsia" w:hAnsi="黑体" w:cs="黑体"/>
          <w:lang w:val="en-US" w:eastAsia="zh-CN"/>
        </w:rPr>
        <w:t>3.1</w:t>
      </w:r>
      <w:bookmarkEnd w:id="51"/>
      <w:bookmarkEnd w:id="52"/>
      <w:bookmarkEnd w:id="53"/>
      <w:bookmarkStart w:id="54" w:name="_Toc12359"/>
      <w:bookmarkStart w:id="55" w:name="_Toc208240400"/>
      <w:r>
        <w:rPr>
          <w:rFonts w:hint="eastAsia" w:hAnsi="黑体" w:cs="黑体"/>
          <w:lang w:val="en-US" w:eastAsia="zh-CN"/>
        </w:rPr>
        <w:t>　</w:t>
      </w:r>
    </w:p>
    <w:p w14:paraId="66B5E24D">
      <w:pPr>
        <w:pStyle w:val="106"/>
        <w:numPr>
          <w:ilvl w:val="0"/>
          <w:numId w:val="0"/>
        </w:numPr>
        <w:spacing w:before="120" w:after="120"/>
        <w:ind w:firstLine="420" w:firstLineChars="200"/>
        <w:rPr>
          <w:rFonts w:ascii="Times New Roman"/>
        </w:rPr>
      </w:pPr>
      <w:bookmarkStart w:id="56" w:name="_Toc1662"/>
      <w:bookmarkStart w:id="57" w:name="_Toc17838"/>
      <w:bookmarkStart w:id="58" w:name="_Toc27562"/>
      <w:r>
        <w:rPr>
          <w:rFonts w:hint="eastAsia" w:hAnsi="黑体" w:cs="黑体"/>
        </w:rPr>
        <w:t>重组胶原蛋白纯化工艺</w:t>
      </w:r>
      <w:r>
        <w:rPr>
          <w:rFonts w:hint="eastAsia" w:ascii="Times New Roman"/>
        </w:rPr>
        <w:t xml:space="preserve"> </w:t>
      </w:r>
      <w:bookmarkEnd w:id="54"/>
      <w:bookmarkEnd w:id="55"/>
      <w:bookmarkEnd w:id="56"/>
      <w:bookmarkEnd w:id="57"/>
      <w:bookmarkEnd w:id="58"/>
      <w:r>
        <w:rPr>
          <w:rFonts w:hint="eastAsia" w:ascii="Times New Roman"/>
          <w:lang w:val="en-US" w:eastAsia="zh-CN"/>
        </w:rPr>
        <w:t>p</w:t>
      </w:r>
      <w:r>
        <w:rPr>
          <w:rFonts w:hint="eastAsia" w:ascii="Times New Roman"/>
        </w:rPr>
        <w:t>urification process of recombinant collagen</w:t>
      </w:r>
    </w:p>
    <w:p w14:paraId="37CDF6A4">
      <w:pPr>
        <w:pStyle w:val="57"/>
        <w:ind w:firstLine="420"/>
        <w:rPr>
          <w:rFonts w:hint="eastAsia"/>
        </w:rPr>
      </w:pPr>
      <w:r>
        <w:rPr>
          <w:rFonts w:hint="eastAsia"/>
        </w:rPr>
        <w:t>从微生物、酵母或哺乳动物细胞表达体系的发酵液或细胞裂解液中，通过分离、纯化</w:t>
      </w:r>
      <w:r>
        <w:rPr>
          <w:rFonts w:hint="eastAsia"/>
          <w:lang w:eastAsia="zh-CN"/>
        </w:rPr>
        <w:t>等</w:t>
      </w:r>
      <w:r>
        <w:rPr>
          <w:rFonts w:hint="eastAsia"/>
        </w:rPr>
        <w:t>步骤，制备高纯度、高活性重组胶原蛋白的全过程。</w:t>
      </w:r>
    </w:p>
    <w:p w14:paraId="23352793">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59" w:name="_Toc9601"/>
      <w:bookmarkEnd w:id="59"/>
      <w:bookmarkStart w:id="60" w:name="_Toc333"/>
      <w:bookmarkEnd w:id="60"/>
      <w:bookmarkStart w:id="61" w:name="_Toc30560"/>
      <w:bookmarkEnd w:id="61"/>
      <w:bookmarkStart w:id="62" w:name="_Toc208239526"/>
      <w:bookmarkStart w:id="63" w:name="_Toc10978"/>
      <w:bookmarkStart w:id="64" w:name="_Toc5932"/>
      <w:bookmarkStart w:id="65" w:name="_Toc12306"/>
      <w:r>
        <w:rPr>
          <w:rFonts w:hint="eastAsia" w:ascii="黑体" w:hAnsi="Times New Roman" w:eastAsia="黑体" w:cs="Times New Roman"/>
          <w:b w:val="0"/>
          <w:i w:val="0"/>
          <w:color w:val="auto"/>
          <w:sz w:val="21"/>
          <w:lang w:val="en-US" w:eastAsia="zh-CN" w:bidi="ar-SA"/>
        </w:rPr>
        <w:t>4</w:t>
      </w:r>
      <w:bookmarkEnd w:id="62"/>
      <w:bookmarkEnd w:id="63"/>
      <w:r>
        <w:rPr>
          <w:rFonts w:hint="eastAsia" w:ascii="黑体" w:hAnsi="Times New Roman" w:eastAsia="黑体" w:cs="Times New Roman"/>
          <w:b w:val="0"/>
          <w:i w:val="0"/>
          <w:color w:val="auto"/>
          <w:sz w:val="21"/>
          <w:lang w:val="en-US" w:eastAsia="zh-CN" w:bidi="ar-SA"/>
        </w:rPr>
        <w:t>　一般要求</w:t>
      </w:r>
      <w:bookmarkEnd w:id="64"/>
      <w:bookmarkEnd w:id="65"/>
      <w:bookmarkStart w:id="108" w:name="_GoBack"/>
      <w:bookmarkEnd w:id="108"/>
    </w:p>
    <w:p w14:paraId="02366E9C">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66" w:name="_Toc10125"/>
      <w:bookmarkStart w:id="67" w:name="_Toc10628"/>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　生产环境</w:t>
      </w:r>
      <w:bookmarkEnd w:id="66"/>
      <w:bookmarkEnd w:id="67"/>
    </w:p>
    <w:p w14:paraId="7A4B0F80">
      <w:pPr>
        <w:pStyle w:val="57"/>
        <w:widowControl/>
        <w:numPr>
          <w:ilvl w:val="-1"/>
          <w:numId w:val="0"/>
        </w:numPr>
        <w:adjustRightInd/>
        <w:spacing w:line="240" w:lineRule="auto"/>
        <w:ind w:firstLine="420" w:firstLineChars="0"/>
        <w:rPr>
          <w:rFonts w:hint="eastAsia" w:ascii="宋体" w:hAnsi="Times New Roman" w:eastAsia="宋体" w:cs="Times New Roman"/>
          <w:lang w:val="en-US" w:eastAsia="zh-CN" w:bidi="ar"/>
        </w:rPr>
      </w:pPr>
      <w:r>
        <w:rPr>
          <w:rFonts w:hint="eastAsia" w:cs="Times New Roman"/>
          <w:lang w:val="en-US" w:eastAsia="zh-CN" w:bidi="ar"/>
        </w:rPr>
        <w:t>生产环境应符合下列规定。</w:t>
      </w:r>
    </w:p>
    <w:p w14:paraId="2C7D20C4">
      <w:pPr>
        <w:pStyle w:val="57"/>
        <w:widowControl/>
        <w:numPr>
          <w:ilvl w:val="-1"/>
          <w:numId w:val="0"/>
        </w:numPr>
        <w:adjustRightInd/>
        <w:spacing w:line="240" w:lineRule="auto"/>
        <w:ind w:left="711" w:leftChars="200" w:hanging="291" w:hangingChars="139"/>
        <w:rPr>
          <w:rFonts w:hint="eastAsia" w:ascii="宋体" w:hAnsi="Times New Roman" w:eastAsia="宋体" w:cs="Times New Roman"/>
          <w:lang w:val="en-US" w:eastAsia="zh-CN" w:bidi="ar"/>
        </w:rPr>
      </w:pPr>
      <w:r>
        <w:rPr>
          <w:rFonts w:hint="eastAsia"/>
          <w:lang w:val="en-US" w:eastAsia="zh-CN"/>
        </w:rPr>
        <w:t>a）</w:t>
      </w:r>
      <w:r>
        <w:rPr>
          <w:rFonts w:hint="eastAsia" w:ascii="宋体" w:hAnsi="Times New Roman" w:eastAsia="宋体" w:cs="Times New Roman"/>
          <w:lang w:val="en-US" w:eastAsia="zh-CN" w:bidi="ar"/>
        </w:rPr>
        <w:t>生产环境应符合GB 50457中D级洁净区及以上的要求，其中纯化工艺中的层析、超滤等关键操作区域应达到C级洁净区要求</w:t>
      </w:r>
      <w:r>
        <w:rPr>
          <w:rFonts w:hint="eastAsia" w:cs="Times New Roman"/>
          <w:lang w:val="en-US" w:eastAsia="zh-CN" w:bidi="ar"/>
        </w:rPr>
        <w:t>。</w:t>
      </w:r>
    </w:p>
    <w:p w14:paraId="718CD3FC">
      <w:pPr>
        <w:pStyle w:val="57"/>
        <w:widowControl/>
        <w:numPr>
          <w:ilvl w:val="-1"/>
          <w:numId w:val="0"/>
        </w:numPr>
        <w:adjustRightInd/>
        <w:spacing w:line="240" w:lineRule="auto"/>
        <w:ind w:left="711" w:leftChars="200" w:hanging="291" w:hangingChars="139"/>
        <w:rPr>
          <w:rFonts w:hint="eastAsia" w:ascii="宋体" w:hAnsi="Times New Roman" w:eastAsia="宋体" w:cs="Times New Roman"/>
          <w:lang w:val="en-US" w:eastAsia="zh-CN" w:bidi="ar"/>
        </w:rPr>
      </w:pPr>
      <w:r>
        <w:rPr>
          <w:rFonts w:hint="eastAsia"/>
          <w:lang w:val="en-US" w:eastAsia="zh-CN"/>
        </w:rPr>
        <w:t>b）</w:t>
      </w:r>
      <w:r>
        <w:rPr>
          <w:rFonts w:hint="eastAsia" w:ascii="宋体" w:hAnsi="Times New Roman" w:eastAsia="宋体" w:cs="Times New Roman"/>
          <w:lang w:val="en-US" w:eastAsia="zh-CN" w:bidi="ar"/>
        </w:rPr>
        <w:t>洁净区的温度应控制在18℃</w:t>
      </w:r>
      <w:r>
        <w:rPr>
          <w:rFonts w:hint="eastAsia"/>
        </w:rPr>
        <w:t>～</w:t>
      </w:r>
      <w:r>
        <w:rPr>
          <w:rFonts w:hint="eastAsia" w:ascii="宋体" w:hAnsi="Times New Roman" w:eastAsia="宋体" w:cs="Times New Roman"/>
          <w:lang w:val="en-US" w:eastAsia="zh-CN" w:bidi="ar"/>
        </w:rPr>
        <w:t>24℃，相对湿度控制在45%</w:t>
      </w:r>
      <w:r>
        <w:rPr>
          <w:rFonts w:hint="eastAsia"/>
        </w:rPr>
        <w:t>～</w:t>
      </w:r>
      <w:r>
        <w:rPr>
          <w:rFonts w:hint="eastAsia" w:ascii="宋体" w:hAnsi="Times New Roman" w:eastAsia="宋体" w:cs="Times New Roman"/>
          <w:lang w:val="en-US" w:eastAsia="zh-CN" w:bidi="ar"/>
        </w:rPr>
        <w:t>65%，静压差应符合GB 50457的规定，即不同洁净级别区域之间的静压差不小于5Pa，洁净区与室外的静压差不小于10Pa。</w:t>
      </w:r>
    </w:p>
    <w:p w14:paraId="5B0C67B3">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68" w:name="_Toc9234"/>
      <w:bookmarkStart w:id="69" w:name="_Toc22299"/>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4.2　设备要求</w:t>
      </w:r>
      <w:bookmarkEnd w:id="68"/>
      <w:bookmarkEnd w:id="69"/>
    </w:p>
    <w:p w14:paraId="42E1B349">
      <w:pPr>
        <w:pStyle w:val="57"/>
        <w:widowControl/>
        <w:numPr>
          <w:ilvl w:val="-1"/>
          <w:numId w:val="0"/>
        </w:numPr>
        <w:adjustRightInd/>
        <w:spacing w:line="240" w:lineRule="auto"/>
        <w:ind w:firstLine="420" w:firstLineChars="0"/>
        <w:rPr>
          <w:rFonts w:hint="eastAsia" w:ascii="宋体" w:hAnsi="Times New Roman" w:eastAsia="宋体" w:cs="Times New Roman"/>
          <w:lang w:val="en-US" w:eastAsia="zh-CN" w:bidi="ar"/>
        </w:rPr>
      </w:pPr>
      <w:r>
        <w:rPr>
          <w:rFonts w:hint="eastAsia" w:ascii="宋体" w:hAnsi="Times New Roman" w:eastAsia="宋体" w:cs="Times New Roman"/>
          <w:lang w:val="en-US" w:eastAsia="zh-CN" w:bidi="ar"/>
        </w:rPr>
        <w:t>重组胶原蛋白纯化工艺设备应符合以下要求</w:t>
      </w:r>
      <w:r>
        <w:rPr>
          <w:rFonts w:hint="eastAsia" w:cs="Times New Roman"/>
          <w:lang w:val="en-US" w:eastAsia="zh-CN" w:bidi="ar"/>
        </w:rPr>
        <w:t>。</w:t>
      </w:r>
    </w:p>
    <w:p w14:paraId="24842D99">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纯化所用设备（层析柱、超滤系统、离心设备、配液罐等）应采用316L不锈钢、聚四氟乙烯、聚丙烯等与产品不发生化学反应、不释放有害物质且易于清洁和灭菌的材料制作，设备内壁应光滑、无死角、无划痕。</w:t>
      </w:r>
    </w:p>
    <w:p w14:paraId="68CED5E3">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设备应具备在线清洁（CIP）和在线灭菌（SIP）功能，CIP系统应能对设备内表面进行有效清洁，清洁后设备内表面的残留物（蛋白质、清洁剂、微生物等）应符合本标准5.2条的要求；SIP系统应能保证设备内所有区域的温度达到（121±1）℃，且维持时间不少于15min，或采用其他经验证能达到同等灭菌效果的灭菌方式。</w:t>
      </w:r>
    </w:p>
    <w:p w14:paraId="0CF2484F">
      <w:pPr>
        <w:pStyle w:val="57"/>
        <w:keepNext w:val="0"/>
        <w:keepLines w:val="0"/>
        <w:pageBreakBefore w:val="0"/>
        <w:widowControl/>
        <w:kinsoku/>
        <w:wordWrap/>
        <w:overflowPunct/>
        <w:topLinePunct w:val="0"/>
        <w:autoSpaceDE w:val="0"/>
        <w:autoSpaceDN w:val="0"/>
        <w:bidi w:val="0"/>
        <w:adjustRightInd/>
        <w:snapToGrid/>
        <w:spacing w:line="288" w:lineRule="auto"/>
        <w:ind w:left="711" w:leftChars="200" w:hanging="291" w:hangingChars="139"/>
        <w:textAlignment w:val="auto"/>
        <w:rPr>
          <w:rFonts w:hint="eastAsia"/>
          <w:lang w:val="en-US" w:eastAsia="zh-CN"/>
        </w:rPr>
      </w:pPr>
      <w:r>
        <w:rPr>
          <w:rFonts w:hint="eastAsia"/>
          <w:lang w:val="en-US" w:eastAsia="zh-CN"/>
        </w:rPr>
        <w:t>c）用于检测纯化过程中关键参数的仪器仪表应定期进行校准，校准周期不超过12个月，校准应符合国家相关计量检定规程的要求，校准记录应保存至少3年。</w:t>
      </w:r>
    </w:p>
    <w:p w14:paraId="666C292E">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70" w:name="_Toc3865"/>
      <w:bookmarkStart w:id="71" w:name="_Toc6309"/>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4.3　人员要求</w:t>
      </w:r>
      <w:bookmarkEnd w:id="70"/>
      <w:bookmarkEnd w:id="71"/>
    </w:p>
    <w:p w14:paraId="7FA06195">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val="en-US" w:eastAsia="zh-CN" w:bidi="ar"/>
        </w:rPr>
      </w:pPr>
      <w:r>
        <w:rPr>
          <w:rFonts w:hint="eastAsia"/>
          <w:lang w:val="en-US" w:eastAsia="zh-CN" w:bidi="ar"/>
        </w:rPr>
        <w:t>重组胶原蛋白纯化工艺人员应符合以下要求。</w:t>
      </w:r>
    </w:p>
    <w:p w14:paraId="4D28532B">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a）从事重组胶原蛋白纯化工艺操作的人员应具备生物工程、生物技术、制药工程相关经验，或经过不少于6个月的专业培训并考核合格。</w:t>
      </w:r>
    </w:p>
    <w:p w14:paraId="765AF88F">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b）人员应严格遵守洁净区的准入制度，进入洁净区前应进行洗手、消毒、更衣等操作。</w:t>
      </w:r>
    </w:p>
    <w:p w14:paraId="5210A0FF">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c）人员应定期进行健康检查，每年至少1次，患有传染病、皮肤病或其他可能污染产品的疾病的人员不得从事纯化工艺操作。</w:t>
      </w:r>
    </w:p>
    <w:p w14:paraId="3C500EB5">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72" w:name="_Toc12193"/>
      <w:bookmarkStart w:id="73" w:name="_Toc27868"/>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4.4　原材料要求</w:t>
      </w:r>
      <w:bookmarkEnd w:id="72"/>
      <w:bookmarkEnd w:id="73"/>
    </w:p>
    <w:p w14:paraId="236A60C7">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val="en-US" w:eastAsia="zh-CN" w:bidi="ar"/>
        </w:rPr>
      </w:pPr>
      <w:r>
        <w:rPr>
          <w:rFonts w:hint="eastAsia"/>
          <w:lang w:val="en-US" w:eastAsia="zh-CN" w:bidi="ar"/>
        </w:rPr>
        <w:t>重组胶原蛋白纯化工艺原材料应符合以下要求。</w:t>
      </w:r>
    </w:p>
    <w:p w14:paraId="039AB092">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a）层析介质应符合QB/T 4416中对层析介质的要求，使用前应进行验证，验证内容包括介质的粒径分布、孔径、吸附容量、分辨率等性能指标；超滤膜应符合相关行业标准的要求，截留分子量偏差应在±10%以内，使用前应进行完整性测试，测试方法应符合膜供应商提供的推荐方法。</w:t>
      </w:r>
    </w:p>
    <w:p w14:paraId="6B8888A6">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b）缓冲液组分（氯化钠、Tris、磷酸二氢钾、磷酸氢二钠等）应采用分析纯及以上级别，其中用于最终产品纯化的缓冲液组分应采用药用级，符合《药典》的相关要求。</w:t>
      </w:r>
    </w:p>
    <w:p w14:paraId="1BB84767">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74" w:name="_Toc208239527"/>
      <w:bookmarkStart w:id="75" w:name="_Toc9931"/>
      <w:bookmarkStart w:id="76" w:name="_Toc18791"/>
      <w:bookmarkStart w:id="77" w:name="_Toc5152"/>
      <w:r>
        <w:rPr>
          <w:rFonts w:hint="eastAsia" w:ascii="黑体" w:hAnsi="Times New Roman" w:eastAsia="黑体" w:cs="Times New Roman"/>
          <w:b w:val="0"/>
          <w:i w:val="0"/>
          <w:color w:val="auto"/>
          <w:sz w:val="21"/>
          <w:lang w:val="en-US" w:eastAsia="zh-CN" w:bidi="ar-SA"/>
        </w:rPr>
        <w:t>5</w:t>
      </w:r>
      <w:bookmarkEnd w:id="74"/>
      <w:bookmarkEnd w:id="75"/>
      <w:r>
        <w:rPr>
          <w:rFonts w:hint="eastAsia" w:ascii="黑体" w:hAnsi="Times New Roman" w:eastAsia="黑体" w:cs="Times New Roman"/>
          <w:b w:val="0"/>
          <w:i w:val="0"/>
          <w:color w:val="auto"/>
          <w:sz w:val="21"/>
          <w:lang w:val="en-US" w:eastAsia="zh-CN" w:bidi="ar-SA"/>
        </w:rPr>
        <w:t>　技术要求</w:t>
      </w:r>
      <w:bookmarkEnd w:id="76"/>
      <w:bookmarkEnd w:id="77"/>
    </w:p>
    <w:p w14:paraId="45F8C7E5">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纯化</w:t>
      </w:r>
      <w:r>
        <w:rPr>
          <w:rFonts w:hint="eastAsia"/>
          <w:lang w:eastAsia="zh-CN" w:bidi="ar"/>
        </w:rPr>
        <w:t>后</w:t>
      </w:r>
      <w:r>
        <w:rPr>
          <w:rFonts w:hint="eastAsia"/>
          <w:lang w:bidi="ar"/>
        </w:rPr>
        <w:t>重组胶原蛋白的技术要求应符合表1的规定。</w:t>
      </w:r>
    </w:p>
    <w:p w14:paraId="4194D86C">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eastAsia" w:eastAsia="宋体"/>
          <w:b/>
          <w:bCs/>
          <w:lang w:eastAsia="zh-CN"/>
        </w:rPr>
      </w:pPr>
      <w:r>
        <w:rPr>
          <w:rFonts w:hint="eastAsia"/>
          <w:b/>
          <w:bCs/>
        </w:rPr>
        <w:t xml:space="preserve">表1 </w:t>
      </w:r>
      <w:r>
        <w:rPr>
          <w:rFonts w:hint="eastAsia"/>
          <w:b/>
          <w:bCs/>
          <w:lang w:eastAsia="zh-CN"/>
        </w:rPr>
        <w:t>纯化后重组胶原蛋白技术要求</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8402"/>
      </w:tblGrid>
      <w:tr w14:paraId="1BDE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7931AA03">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cs="Times New Roman"/>
                <w:b w:val="0"/>
                <w:bCs w:val="0"/>
                <w:i w:val="0"/>
                <w:iCs w:val="0"/>
                <w:caps w:val="0"/>
                <w:color w:val="auto"/>
                <w:spacing w:val="0"/>
                <w:kern w:val="0"/>
                <w:sz w:val="18"/>
                <w:szCs w:val="16"/>
                <w:lang w:val="en-US" w:eastAsia="zh-CN" w:bidi="ar"/>
              </w:rPr>
              <w:t>项目</w:t>
            </w:r>
          </w:p>
        </w:tc>
        <w:tc>
          <w:tcPr>
            <w:tcW w:w="8402" w:type="dxa"/>
            <w:vAlign w:val="center"/>
          </w:tcPr>
          <w:p w14:paraId="645D1FFF">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cs="Times New Roman"/>
                <w:b w:val="0"/>
                <w:bCs w:val="0"/>
                <w:i w:val="0"/>
                <w:iCs w:val="0"/>
                <w:caps w:val="0"/>
                <w:color w:val="auto"/>
                <w:spacing w:val="0"/>
                <w:kern w:val="0"/>
                <w:sz w:val="18"/>
                <w:szCs w:val="16"/>
                <w:lang w:val="en-US" w:eastAsia="zh-CN" w:bidi="ar"/>
              </w:rPr>
              <w:t>技术指标</w:t>
            </w:r>
          </w:p>
        </w:tc>
      </w:tr>
      <w:tr w14:paraId="4292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3ED66B1C">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蛋白质纯度</w:t>
            </w:r>
          </w:p>
        </w:tc>
        <w:tc>
          <w:tcPr>
            <w:tcW w:w="8402" w:type="dxa"/>
            <w:vAlign w:val="center"/>
          </w:tcPr>
          <w:p w14:paraId="4DB39F62">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≥95.0%（SEC-HPLC法）；SDS-PAGE银染法检测无明显杂带</w:t>
            </w:r>
          </w:p>
        </w:tc>
      </w:tr>
      <w:tr w14:paraId="2144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7CC208FB">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分子量分布</w:t>
            </w:r>
          </w:p>
        </w:tc>
        <w:tc>
          <w:tcPr>
            <w:tcW w:w="8402" w:type="dxa"/>
            <w:vAlign w:val="center"/>
          </w:tcPr>
          <w:p w14:paraId="286FE64F">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重均分子量（Mw）与数均分子量（Mn）比值（Mw/Mn）≤1.05</w:t>
            </w:r>
          </w:p>
        </w:tc>
      </w:tr>
      <w:tr w14:paraId="60A0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1796C365">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宿主细胞蛋白残留</w:t>
            </w:r>
          </w:p>
        </w:tc>
        <w:tc>
          <w:tcPr>
            <w:tcW w:w="8402" w:type="dxa"/>
            <w:vAlign w:val="center"/>
          </w:tcPr>
          <w:p w14:paraId="4462562D">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微生物表达体系（大肠杆菌/酵母）：≤100 ng/mg目标蛋白</w:t>
            </w:r>
          </w:p>
          <w:p w14:paraId="75F515F6">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default" w:ascii="宋体" w:hAnsi="Times New Roman" w:eastAsia="宋体" w:cs="Times New Roman"/>
                <w:b w:val="0"/>
                <w:bCs w:val="0"/>
                <w:i w:val="0"/>
                <w:iCs w:val="0"/>
                <w:caps w:val="0"/>
                <w:color w:val="auto"/>
                <w:spacing w:val="0"/>
                <w:kern w:val="0"/>
                <w:sz w:val="18"/>
                <w:szCs w:val="16"/>
                <w:lang w:val="en-US" w:eastAsia="zh-CN" w:bidi="ar"/>
              </w:rPr>
              <w:t>哺乳动物细胞表达体系：</w:t>
            </w:r>
            <w:r>
              <w:rPr>
                <w:rFonts w:hint="eastAsia" w:ascii="宋体" w:hAnsi="Times New Roman" w:eastAsia="宋体" w:cs="Times New Roman"/>
                <w:b w:val="0"/>
                <w:bCs w:val="0"/>
                <w:i w:val="0"/>
                <w:iCs w:val="0"/>
                <w:caps w:val="0"/>
                <w:color w:val="auto"/>
                <w:spacing w:val="0"/>
                <w:kern w:val="0"/>
                <w:sz w:val="18"/>
                <w:szCs w:val="16"/>
                <w:lang w:val="en-US" w:eastAsia="zh-CN" w:bidi="ar"/>
              </w:rPr>
              <w:t>≤</w:t>
            </w:r>
            <w:r>
              <w:rPr>
                <w:rFonts w:hint="default" w:ascii="宋体" w:hAnsi="Times New Roman" w:eastAsia="宋体" w:cs="Times New Roman"/>
                <w:b w:val="0"/>
                <w:bCs w:val="0"/>
                <w:i w:val="0"/>
                <w:iCs w:val="0"/>
                <w:caps w:val="0"/>
                <w:color w:val="auto"/>
                <w:spacing w:val="0"/>
                <w:kern w:val="0"/>
                <w:sz w:val="18"/>
                <w:szCs w:val="16"/>
                <w:lang w:val="en-US" w:eastAsia="zh-CN" w:bidi="ar"/>
              </w:rPr>
              <w:t>50 ng/mg目标蛋白</w:t>
            </w:r>
          </w:p>
        </w:tc>
      </w:tr>
      <w:tr w14:paraId="6B00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6614AAB8">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宿主细胞DNA残留</w:t>
            </w:r>
          </w:p>
        </w:tc>
        <w:tc>
          <w:tcPr>
            <w:tcW w:w="8402" w:type="dxa"/>
            <w:vAlign w:val="center"/>
          </w:tcPr>
          <w:p w14:paraId="224B3E4E">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微生物表达体系：≤10 pg/mg目标蛋白；</w:t>
            </w:r>
            <w:r>
              <w:rPr>
                <w:rFonts w:hint="default" w:ascii="宋体" w:hAnsi="Times New Roman" w:eastAsia="宋体" w:cs="Times New Roman"/>
                <w:b w:val="0"/>
                <w:bCs w:val="0"/>
                <w:i w:val="0"/>
                <w:iCs w:val="0"/>
                <w:caps w:val="0"/>
                <w:color w:val="auto"/>
                <w:spacing w:val="0"/>
                <w:kern w:val="0"/>
                <w:sz w:val="18"/>
                <w:szCs w:val="16"/>
                <w:lang w:val="en-US" w:eastAsia="zh-CN" w:bidi="ar"/>
              </w:rPr>
              <w:t>哺乳动物细胞表达体系：</w:t>
            </w:r>
            <w:r>
              <w:rPr>
                <w:rFonts w:hint="eastAsia" w:ascii="宋体" w:hAnsi="Times New Roman" w:eastAsia="宋体" w:cs="Times New Roman"/>
                <w:b w:val="0"/>
                <w:bCs w:val="0"/>
                <w:i w:val="0"/>
                <w:iCs w:val="0"/>
                <w:caps w:val="0"/>
                <w:color w:val="auto"/>
                <w:spacing w:val="0"/>
                <w:kern w:val="0"/>
                <w:sz w:val="18"/>
                <w:szCs w:val="16"/>
                <w:lang w:val="en-US" w:eastAsia="zh-CN" w:bidi="ar"/>
              </w:rPr>
              <w:t>≤</w:t>
            </w:r>
            <w:r>
              <w:rPr>
                <w:rFonts w:hint="default" w:ascii="宋体" w:hAnsi="Times New Roman" w:eastAsia="宋体" w:cs="Times New Roman"/>
                <w:b w:val="0"/>
                <w:bCs w:val="0"/>
                <w:i w:val="0"/>
                <w:iCs w:val="0"/>
                <w:caps w:val="0"/>
                <w:color w:val="auto"/>
                <w:spacing w:val="0"/>
                <w:kern w:val="0"/>
                <w:sz w:val="18"/>
                <w:szCs w:val="16"/>
                <w:lang w:val="en-US" w:eastAsia="zh-CN" w:bidi="ar"/>
              </w:rPr>
              <w:t>1 pg/mg目标蛋白</w:t>
            </w:r>
          </w:p>
        </w:tc>
      </w:tr>
      <w:tr w14:paraId="0DB0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263958BF">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内毒素含量</w:t>
            </w:r>
          </w:p>
        </w:tc>
        <w:tc>
          <w:tcPr>
            <w:tcW w:w="8402" w:type="dxa"/>
            <w:vAlign w:val="center"/>
          </w:tcPr>
          <w:p w14:paraId="15507636">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用于注射/黏膜接触类产品：≤0.5 EU/mg目标蛋白；</w:t>
            </w:r>
          </w:p>
          <w:p w14:paraId="01F84F3D">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外用非黏膜类：≤2.0 EU/mg</w:t>
            </w:r>
          </w:p>
        </w:tc>
      </w:tr>
      <w:tr w14:paraId="55AE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2325C72F">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pH值</w:t>
            </w:r>
          </w:p>
        </w:tc>
        <w:tc>
          <w:tcPr>
            <w:tcW w:w="8402" w:type="dxa"/>
            <w:vAlign w:val="center"/>
          </w:tcPr>
          <w:p w14:paraId="17B085A6">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25℃±2℃条件下测定，6.0～8.0</w:t>
            </w:r>
          </w:p>
        </w:tc>
      </w:tr>
      <w:tr w14:paraId="6C62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26C8814F">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等电点</w:t>
            </w:r>
            <w:r>
              <w:rPr>
                <w:rFonts w:hint="eastAsia" w:cs="Times New Roman"/>
                <w:b w:val="0"/>
                <w:bCs w:val="0"/>
                <w:i w:val="0"/>
                <w:iCs w:val="0"/>
                <w:caps w:val="0"/>
                <w:color w:val="auto"/>
                <w:spacing w:val="0"/>
                <w:kern w:val="0"/>
                <w:sz w:val="18"/>
                <w:szCs w:val="16"/>
                <w:lang w:val="en-US" w:eastAsia="zh-CN" w:bidi="ar"/>
              </w:rPr>
              <w:t>（pI）</w:t>
            </w:r>
          </w:p>
        </w:tc>
        <w:tc>
          <w:tcPr>
            <w:tcW w:w="8402" w:type="dxa"/>
            <w:vAlign w:val="center"/>
          </w:tcPr>
          <w:p w14:paraId="3A677CC1">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目标等电点±0.3；目标等电点需根据具体重组胶原蛋白亚型（Ⅰ型、Ⅲ型）及表达设计确定，</w:t>
            </w:r>
          </w:p>
          <w:p w14:paraId="6DBDA550">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通常范围为5.0～7.0</w:t>
            </w:r>
          </w:p>
        </w:tc>
      </w:tr>
      <w:tr w14:paraId="4596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5571E63B">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cs="Times New Roman"/>
                <w:b w:val="0"/>
                <w:bCs w:val="0"/>
                <w:i w:val="0"/>
                <w:iCs w:val="0"/>
                <w:caps w:val="0"/>
                <w:color w:val="auto"/>
                <w:spacing w:val="0"/>
                <w:kern w:val="0"/>
                <w:sz w:val="18"/>
                <w:szCs w:val="16"/>
                <w:lang w:val="en-US" w:eastAsia="zh-CN" w:bidi="ar"/>
              </w:rPr>
              <w:t>微生物限量</w:t>
            </w:r>
          </w:p>
        </w:tc>
        <w:tc>
          <w:tcPr>
            <w:tcW w:w="8402" w:type="dxa"/>
            <w:vAlign w:val="center"/>
          </w:tcPr>
          <w:p w14:paraId="2CE08B66">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非无菌产品：需氧菌总数≤100 CFU/g（或mL），霉菌和酵母菌总数≤10 CFU/g（或mL），不得检出大肠埃希菌、金黄色葡萄球菌、铜绿假单胞菌</w:t>
            </w:r>
          </w:p>
          <w:p w14:paraId="10023CDD">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default" w:ascii="宋体" w:hAnsi="Times New Roman" w:eastAsia="宋体" w:cs="Times New Roman"/>
                <w:b w:val="0"/>
                <w:bCs w:val="0"/>
                <w:i w:val="0"/>
                <w:iCs w:val="0"/>
                <w:caps w:val="0"/>
                <w:color w:val="auto"/>
                <w:spacing w:val="0"/>
                <w:kern w:val="0"/>
                <w:sz w:val="18"/>
                <w:szCs w:val="16"/>
                <w:lang w:val="en-US" w:eastAsia="zh-CN" w:bidi="ar"/>
              </w:rPr>
              <w:t>无菌产品：符合</w:t>
            </w:r>
            <w:r>
              <w:rPr>
                <w:rFonts w:hint="eastAsia" w:cs="Times New Roman"/>
                <w:b w:val="0"/>
                <w:bCs w:val="0"/>
                <w:i w:val="0"/>
                <w:iCs w:val="0"/>
                <w:caps w:val="0"/>
                <w:color w:val="auto"/>
                <w:spacing w:val="0"/>
                <w:kern w:val="0"/>
                <w:sz w:val="18"/>
                <w:szCs w:val="16"/>
                <w:lang w:val="en-US" w:eastAsia="zh-CN" w:bidi="ar"/>
              </w:rPr>
              <w:t>《药典》 1101</w:t>
            </w:r>
            <w:r>
              <w:rPr>
                <w:rFonts w:hint="default" w:ascii="宋体" w:hAnsi="Times New Roman" w:eastAsia="宋体" w:cs="Times New Roman"/>
                <w:b w:val="0"/>
                <w:bCs w:val="0"/>
                <w:i w:val="0"/>
                <w:iCs w:val="0"/>
                <w:caps w:val="0"/>
                <w:color w:val="auto"/>
                <w:spacing w:val="0"/>
                <w:kern w:val="0"/>
                <w:sz w:val="18"/>
                <w:szCs w:val="16"/>
                <w:lang w:val="en-US" w:eastAsia="zh-CN" w:bidi="ar"/>
              </w:rPr>
              <w:t>无菌检查要求</w:t>
            </w:r>
          </w:p>
        </w:tc>
      </w:tr>
      <w:tr w14:paraId="1A23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318FE821">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回收率</w:t>
            </w:r>
          </w:p>
        </w:tc>
        <w:tc>
          <w:tcPr>
            <w:tcW w:w="8402" w:type="dxa"/>
            <w:vAlign w:val="center"/>
          </w:tcPr>
          <w:p w14:paraId="0DE6703C">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纯化总回收率≥60%（终产品目标蛋白总量/起始物料（发酵液/裂解液）目标蛋白总量×100%）</w:t>
            </w:r>
          </w:p>
        </w:tc>
      </w:tr>
      <w:tr w14:paraId="4CEB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8" w:type="dxa"/>
            <w:vAlign w:val="center"/>
          </w:tcPr>
          <w:p w14:paraId="7265F76A">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稳定性</w:t>
            </w:r>
          </w:p>
        </w:tc>
        <w:tc>
          <w:tcPr>
            <w:tcW w:w="8402" w:type="dxa"/>
            <w:vAlign w:val="center"/>
          </w:tcPr>
          <w:p w14:paraId="21A81EB0">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eastAsia" w:ascii="宋体" w:hAnsi="Times New Roman" w:eastAsia="宋体" w:cs="Times New Roman"/>
                <w:b w:val="0"/>
                <w:bCs w:val="0"/>
                <w:i w:val="0"/>
                <w:iCs w:val="0"/>
                <w:caps w:val="0"/>
                <w:color w:val="auto"/>
                <w:spacing w:val="0"/>
                <w:kern w:val="0"/>
                <w:sz w:val="18"/>
                <w:szCs w:val="16"/>
                <w:lang w:val="en-US" w:eastAsia="zh-CN" w:bidi="ar"/>
              </w:rPr>
              <w:t>加速稳定性：40℃±2℃、RH 75%±5%条件下放置6个月，各项指标仍符合本文件要求；</w:t>
            </w:r>
          </w:p>
          <w:p w14:paraId="7B219133">
            <w:pPr>
              <w:pStyle w:val="57"/>
              <w:widowControl/>
              <w:adjustRightInd/>
              <w:spacing w:line="288" w:lineRule="auto"/>
              <w:ind w:firstLine="0" w:firstLineChars="0"/>
              <w:jc w:val="center"/>
              <w:rPr>
                <w:rFonts w:hint="eastAsia" w:ascii="宋体" w:hAnsi="Times New Roman" w:eastAsia="宋体" w:cs="Times New Roman"/>
                <w:b w:val="0"/>
                <w:bCs w:val="0"/>
                <w:i w:val="0"/>
                <w:iCs w:val="0"/>
                <w:caps w:val="0"/>
                <w:color w:val="auto"/>
                <w:spacing w:val="0"/>
                <w:kern w:val="0"/>
                <w:sz w:val="18"/>
                <w:szCs w:val="16"/>
                <w:lang w:val="en-US" w:eastAsia="zh-CN" w:bidi="ar"/>
              </w:rPr>
            </w:pPr>
            <w:r>
              <w:rPr>
                <w:rFonts w:hint="default" w:ascii="宋体" w:hAnsi="Times New Roman" w:eastAsia="宋体" w:cs="Times New Roman"/>
                <w:b w:val="0"/>
                <w:bCs w:val="0"/>
                <w:i w:val="0"/>
                <w:iCs w:val="0"/>
                <w:caps w:val="0"/>
                <w:color w:val="auto"/>
                <w:spacing w:val="0"/>
                <w:kern w:val="0"/>
                <w:sz w:val="18"/>
                <w:szCs w:val="16"/>
                <w:lang w:val="en-US" w:eastAsia="zh-CN" w:bidi="ar"/>
              </w:rPr>
              <w:t>长期稳定性：2</w:t>
            </w:r>
            <w:r>
              <w:rPr>
                <w:rFonts w:hint="eastAsia" w:ascii="宋体" w:hAnsi="Times New Roman" w:eastAsia="宋体" w:cs="Times New Roman"/>
                <w:b w:val="0"/>
                <w:bCs w:val="0"/>
                <w:i w:val="0"/>
                <w:iCs w:val="0"/>
                <w:caps w:val="0"/>
                <w:color w:val="auto"/>
                <w:spacing w:val="0"/>
                <w:kern w:val="0"/>
                <w:sz w:val="18"/>
                <w:szCs w:val="16"/>
                <w:lang w:val="en-US" w:eastAsia="zh-CN" w:bidi="ar"/>
              </w:rPr>
              <w:t xml:space="preserve"> </w:t>
            </w:r>
            <w:r>
              <w:rPr>
                <w:rFonts w:hint="default" w:ascii="宋体" w:hAnsi="Times New Roman" w:eastAsia="宋体" w:cs="Times New Roman"/>
                <w:b w:val="0"/>
                <w:bCs w:val="0"/>
                <w:i w:val="0"/>
                <w:iCs w:val="0"/>
                <w:caps w:val="0"/>
                <w:color w:val="auto"/>
                <w:spacing w:val="0"/>
                <w:kern w:val="0"/>
                <w:sz w:val="18"/>
                <w:szCs w:val="16"/>
                <w:lang w:val="en-US" w:eastAsia="zh-CN" w:bidi="ar"/>
              </w:rPr>
              <w:t>℃</w:t>
            </w:r>
            <w:r>
              <w:rPr>
                <w:rFonts w:hint="eastAsia" w:ascii="宋体" w:hAnsi="Times New Roman" w:eastAsia="宋体" w:cs="Times New Roman"/>
                <w:b w:val="0"/>
                <w:bCs w:val="0"/>
                <w:i w:val="0"/>
                <w:iCs w:val="0"/>
                <w:caps w:val="0"/>
                <w:color w:val="auto"/>
                <w:spacing w:val="0"/>
                <w:kern w:val="0"/>
                <w:sz w:val="18"/>
                <w:szCs w:val="16"/>
                <w:lang w:val="en-US" w:eastAsia="zh-CN" w:bidi="ar"/>
              </w:rPr>
              <w:t>～</w:t>
            </w:r>
            <w:r>
              <w:rPr>
                <w:rFonts w:hint="default" w:ascii="宋体" w:hAnsi="Times New Roman" w:eastAsia="宋体" w:cs="Times New Roman"/>
                <w:b w:val="0"/>
                <w:bCs w:val="0"/>
                <w:i w:val="0"/>
                <w:iCs w:val="0"/>
                <w:caps w:val="0"/>
                <w:color w:val="auto"/>
                <w:spacing w:val="0"/>
                <w:kern w:val="0"/>
                <w:sz w:val="18"/>
                <w:szCs w:val="16"/>
                <w:lang w:val="en-US" w:eastAsia="zh-CN" w:bidi="ar"/>
              </w:rPr>
              <w:t>8</w:t>
            </w:r>
            <w:r>
              <w:rPr>
                <w:rFonts w:hint="eastAsia" w:ascii="宋体" w:hAnsi="Times New Roman" w:eastAsia="宋体" w:cs="Times New Roman"/>
                <w:b w:val="0"/>
                <w:bCs w:val="0"/>
                <w:i w:val="0"/>
                <w:iCs w:val="0"/>
                <w:caps w:val="0"/>
                <w:color w:val="auto"/>
                <w:spacing w:val="0"/>
                <w:kern w:val="0"/>
                <w:sz w:val="18"/>
                <w:szCs w:val="16"/>
                <w:lang w:val="en-US" w:eastAsia="zh-CN" w:bidi="ar"/>
              </w:rPr>
              <w:t xml:space="preserve"> </w:t>
            </w:r>
            <w:r>
              <w:rPr>
                <w:rFonts w:hint="default" w:ascii="宋体" w:hAnsi="Times New Roman" w:eastAsia="宋体" w:cs="Times New Roman"/>
                <w:b w:val="0"/>
                <w:bCs w:val="0"/>
                <w:i w:val="0"/>
                <w:iCs w:val="0"/>
                <w:caps w:val="0"/>
                <w:color w:val="auto"/>
                <w:spacing w:val="0"/>
                <w:kern w:val="0"/>
                <w:sz w:val="18"/>
                <w:szCs w:val="16"/>
                <w:lang w:val="en-US" w:eastAsia="zh-CN" w:bidi="ar"/>
              </w:rPr>
              <w:t>℃条件下放置12个月，各项指标仍符合本标准要求</w:t>
            </w:r>
          </w:p>
        </w:tc>
      </w:tr>
    </w:tbl>
    <w:p w14:paraId="3AB07E97">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78" w:name="_Toc5008"/>
      <w:bookmarkStart w:id="79" w:name="_Toc32037"/>
      <w:r>
        <w:rPr>
          <w:rFonts w:hint="eastAsia" w:ascii="黑体" w:hAnsi="Times New Roman" w:eastAsia="黑体" w:cs="Times New Roman"/>
          <w:b w:val="0"/>
          <w:i w:val="0"/>
          <w:color w:val="auto"/>
          <w:sz w:val="21"/>
          <w:lang w:val="en-US" w:eastAsia="zh-CN" w:bidi="ar-SA"/>
        </w:rPr>
        <w:t>6　工艺控制</w:t>
      </w:r>
      <w:bookmarkEnd w:id="78"/>
      <w:bookmarkEnd w:id="79"/>
    </w:p>
    <w:p w14:paraId="62B0C856">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80" w:name="_Toc18175"/>
      <w:bookmarkStart w:id="81" w:name="_Toc20710"/>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6.1　工艺流程</w:t>
      </w:r>
      <w:bookmarkEnd w:id="80"/>
      <w:bookmarkEnd w:id="81"/>
    </w:p>
    <w:p w14:paraId="6694CE05">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val="en-US" w:eastAsia="zh-CN" w:bidi="ar"/>
        </w:rPr>
      </w:pPr>
      <w:r>
        <w:rPr>
          <w:rFonts w:hint="eastAsia"/>
          <w:lang w:bidi="ar"/>
        </w:rPr>
        <w:t>重组胶原蛋白</w:t>
      </w:r>
      <w:r>
        <w:rPr>
          <w:rFonts w:hint="eastAsia"/>
          <w:lang w:eastAsia="zh-CN" w:bidi="ar"/>
        </w:rPr>
        <w:t>纯化工艺应按照图</w:t>
      </w:r>
      <w:r>
        <w:rPr>
          <w:rFonts w:hint="eastAsia"/>
          <w:lang w:val="en-US" w:eastAsia="zh-CN" w:bidi="ar"/>
        </w:rPr>
        <w:t>1规定进行。</w:t>
      </w:r>
    </w:p>
    <w:p w14:paraId="72D89073">
      <w:pPr>
        <w:pStyle w:val="57"/>
        <w:ind w:firstLine="420"/>
        <w:rPr>
          <w:rFonts w:hint="eastAsia"/>
          <w:lang w:val="en-US" w:eastAsia="zh-CN"/>
        </w:rPr>
      </w:pPr>
      <w:r>
        <w:rPr>
          <w:sz w:val="21"/>
        </w:rPr>
        <mc:AlternateContent>
          <mc:Choice Requires="wpg">
            <w:drawing>
              <wp:anchor distT="0" distB="0" distL="114300" distR="114300" simplePos="0" relativeHeight="251662336" behindDoc="1" locked="0" layoutInCell="1" allowOverlap="1">
                <wp:simplePos x="0" y="0"/>
                <wp:positionH relativeFrom="column">
                  <wp:posOffset>365760</wp:posOffset>
                </wp:positionH>
                <wp:positionV relativeFrom="paragraph">
                  <wp:posOffset>173355</wp:posOffset>
                </wp:positionV>
                <wp:extent cx="5116830" cy="2082165"/>
                <wp:effectExtent l="4445" t="4445" r="22225" b="8890"/>
                <wp:wrapTight wrapText="bothSides">
                  <wp:wrapPolygon>
                    <wp:start x="3198" y="-46"/>
                    <wp:lineTo x="2957" y="1732"/>
                    <wp:lineTo x="3117" y="3116"/>
                    <wp:lineTo x="-19" y="3511"/>
                    <wp:lineTo x="-19" y="8056"/>
                    <wp:lineTo x="14617" y="9440"/>
                    <wp:lineTo x="2072" y="11416"/>
                    <wp:lineTo x="2072" y="12602"/>
                    <wp:lineTo x="-19" y="15566"/>
                    <wp:lineTo x="-19" y="19518"/>
                    <wp:lineTo x="17030" y="21495"/>
                    <wp:lineTo x="17995" y="21495"/>
                    <wp:lineTo x="21533" y="21297"/>
                    <wp:lineTo x="21533" y="18728"/>
                    <wp:lineTo x="21050" y="15764"/>
                    <wp:lineTo x="21131" y="14183"/>
                    <wp:lineTo x="18638" y="12997"/>
                    <wp:lineTo x="16065" y="12602"/>
                    <wp:lineTo x="21453" y="10033"/>
                    <wp:lineTo x="21533" y="7266"/>
                    <wp:lineTo x="21050" y="7068"/>
                    <wp:lineTo x="17190" y="6278"/>
                    <wp:lineTo x="19040" y="6278"/>
                    <wp:lineTo x="20890" y="4697"/>
                    <wp:lineTo x="20970" y="2325"/>
                    <wp:lineTo x="14698" y="-46"/>
                    <wp:lineTo x="3198" y="-46"/>
                  </wp:wrapPolygon>
                </wp:wrapTight>
                <wp:docPr id="49" name="组合 49"/>
                <wp:cNvGraphicFramePr/>
                <a:graphic xmlns:a="http://schemas.openxmlformats.org/drawingml/2006/main">
                  <a:graphicData uri="http://schemas.microsoft.com/office/word/2010/wordprocessingGroup">
                    <wpg:wgp>
                      <wpg:cNvGrpSpPr/>
                      <wpg:grpSpPr>
                        <a:xfrm>
                          <a:off x="0" y="0"/>
                          <a:ext cx="5116830" cy="2082165"/>
                          <a:chOff x="2698" y="89992"/>
                          <a:chExt cx="8058" cy="3279"/>
                        </a:xfrm>
                      </wpg:grpSpPr>
                      <wps:wsp>
                        <wps:cNvPr id="30" name="文本框 30"/>
                        <wps:cNvSpPr txBox="1"/>
                        <wps:spPr>
                          <a:xfrm>
                            <a:off x="6907" y="91772"/>
                            <a:ext cx="1147"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15B3926">
                              <w:pPr>
                                <w:keepNext w:val="0"/>
                                <w:keepLines w:val="0"/>
                                <w:pageBreakBefore w:val="0"/>
                                <w:widowControl w:val="0"/>
                                <w:kinsoku/>
                                <w:wordWrap/>
                                <w:overflowPunct/>
                                <w:topLinePunct w:val="0"/>
                                <w:bidi w:val="0"/>
                                <w:adjustRightInd w:val="0"/>
                                <w:snapToGrid/>
                                <w:spacing w:line="240" w:lineRule="auto"/>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超滤/渗滤</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8" name="组合 48"/>
                        <wpg:cNvGrpSpPr/>
                        <wpg:grpSpPr>
                          <a:xfrm>
                            <a:off x="2698" y="89992"/>
                            <a:ext cx="8058" cy="3279"/>
                            <a:chOff x="2698" y="89992"/>
                            <a:chExt cx="8058" cy="3279"/>
                          </a:xfrm>
                        </wpg:grpSpPr>
                        <wps:wsp>
                          <wps:cNvPr id="1" name="文本框 1"/>
                          <wps:cNvSpPr txBox="1"/>
                          <wps:spPr>
                            <a:xfrm>
                              <a:off x="2698" y="90575"/>
                              <a:ext cx="1080" cy="6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EF75378">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发酵液</w:t>
                                </w:r>
                                <w:r>
                                  <w:rPr>
                                    <w:rFonts w:hint="eastAsia" w:ascii="宋体" w:hAnsi="宋体" w:eastAsia="宋体" w:cs="宋体"/>
                                    <w:sz w:val="18"/>
                                    <w:szCs w:val="18"/>
                                    <w:lang w:val="en-US" w:eastAsia="zh-CN"/>
                                  </w:rPr>
                                  <w:t>/细胞裂解液</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17"/>
                          <wps:cNvSpPr txBox="1"/>
                          <wps:spPr>
                            <a:xfrm>
                              <a:off x="2717" y="92359"/>
                              <a:ext cx="1080" cy="5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EAA3C99">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质量检验与放行</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箭头连接符 18"/>
                          <wps:cNvCnPr>
                            <a:stCxn id="1" idx="3"/>
                            <a:endCxn id="14" idx="1"/>
                          </wps:cNvCnPr>
                          <wps:spPr>
                            <a:xfrm>
                              <a:off x="3778" y="90883"/>
                              <a:ext cx="1670" cy="6"/>
                            </a:xfrm>
                            <a:prstGeom prst="straightConnector1">
                              <a:avLst/>
                            </a:prstGeom>
                            <a:noFill/>
                            <a:ln w="9525">
                              <a:solidFill>
                                <a:schemeClr val="tx1"/>
                              </a:solidFill>
                              <a:round/>
                              <a:tailEnd type="arrow"/>
                            </a:ln>
                          </wps:spPr>
                          <wps:bodyPr/>
                        </wps:wsp>
                        <wps:wsp>
                          <wps:cNvPr id="19" name="直接箭头连接符 19"/>
                          <wps:cNvCnPr>
                            <a:stCxn id="14" idx="3"/>
                            <a:endCxn id="8" idx="1"/>
                          </wps:cNvCnPr>
                          <wps:spPr>
                            <a:xfrm flipV="1">
                              <a:off x="6663" y="90872"/>
                              <a:ext cx="1008" cy="17"/>
                            </a:xfrm>
                            <a:prstGeom prst="straightConnector1">
                              <a:avLst/>
                            </a:prstGeom>
                            <a:noFill/>
                            <a:ln w="9525">
                              <a:solidFill>
                                <a:srgbClr val="000000"/>
                              </a:solidFill>
                              <a:round/>
                              <a:tailEnd type="arrow"/>
                            </a:ln>
                          </wps:spPr>
                          <wps:bodyPr/>
                        </wps:wsp>
                        <wps:wsp>
                          <wps:cNvPr id="20" name="直接箭头连接符 20"/>
                          <wps:cNvCnPr>
                            <a:stCxn id="16" idx="1"/>
                            <a:endCxn id="17" idx="3"/>
                          </wps:cNvCnPr>
                          <wps:spPr>
                            <a:xfrm flipH="1" flipV="1">
                              <a:off x="3797" y="92652"/>
                              <a:ext cx="1443" cy="1"/>
                            </a:xfrm>
                            <a:prstGeom prst="straightConnector1">
                              <a:avLst/>
                            </a:prstGeom>
                            <a:noFill/>
                            <a:ln w="9525">
                              <a:solidFill>
                                <a:srgbClr val="000000"/>
                              </a:solidFill>
                              <a:round/>
                              <a:tailEnd type="arrow"/>
                            </a:ln>
                          </wps:spPr>
                          <wps:bodyPr/>
                        </wps:wsp>
                        <wps:wsp>
                          <wps:cNvPr id="21" name="直接箭头连接符 21"/>
                          <wps:cNvCnPr>
                            <a:stCxn id="8" idx="2"/>
                            <a:endCxn id="15" idx="0"/>
                          </wps:cNvCnPr>
                          <wps:spPr>
                            <a:xfrm>
                              <a:off x="8252" y="91174"/>
                              <a:ext cx="0" cy="1273"/>
                            </a:xfrm>
                            <a:prstGeom prst="straightConnector1">
                              <a:avLst/>
                            </a:prstGeom>
                            <a:noFill/>
                            <a:ln w="9525">
                              <a:solidFill>
                                <a:srgbClr val="000000"/>
                              </a:solidFill>
                              <a:round/>
                              <a:tailEnd type="arrow"/>
                            </a:ln>
                          </wps:spPr>
                          <wps:bodyPr/>
                        </wps:wsp>
                        <wps:wsp>
                          <wps:cNvPr id="22" name="直接箭头连接符 22"/>
                          <wps:cNvCnPr>
                            <a:stCxn id="15" idx="1"/>
                            <a:endCxn id="16" idx="3"/>
                          </wps:cNvCnPr>
                          <wps:spPr>
                            <a:xfrm flipH="1">
                              <a:off x="6509" y="92646"/>
                              <a:ext cx="1108" cy="7"/>
                            </a:xfrm>
                            <a:prstGeom prst="straightConnector1">
                              <a:avLst/>
                            </a:prstGeom>
                            <a:noFill/>
                            <a:ln w="9525">
                              <a:solidFill>
                                <a:srgbClr val="000000"/>
                              </a:solidFill>
                              <a:round/>
                              <a:tailEnd type="arrow"/>
                            </a:ln>
                          </wps:spPr>
                          <wps:bodyPr/>
                        </wps:wsp>
                        <wpg:grpSp>
                          <wpg:cNvPr id="33" name="组合 33"/>
                          <wpg:cNvGrpSpPr/>
                          <wpg:grpSpPr>
                            <a:xfrm>
                              <a:off x="3884" y="89992"/>
                              <a:ext cx="4308" cy="1082"/>
                              <a:chOff x="4174" y="90581"/>
                              <a:chExt cx="4308" cy="1082"/>
                            </a:xfrm>
                          </wpg:grpSpPr>
                          <wps:wsp>
                            <wps:cNvPr id="3" name="文本框 3"/>
                            <wps:cNvSpPr txBox="1"/>
                            <wps:spPr>
                              <a:xfrm>
                                <a:off x="4251" y="90581"/>
                                <a:ext cx="1162" cy="3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3F78D41">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细胞</w:t>
                                  </w:r>
                                  <w:r>
                                    <w:rPr>
                                      <w:rFonts w:hint="eastAsia" w:ascii="宋体" w:hAnsi="宋体" w:cs="宋体"/>
                                      <w:sz w:val="18"/>
                                      <w:szCs w:val="18"/>
                                      <w:lang w:val="en-US" w:eastAsia="zh-CN"/>
                                    </w:rPr>
                                    <w:t>破碎</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5771" y="90588"/>
                                <a:ext cx="1162"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3423E52">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离心/过滤</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7251" y="90587"/>
                                <a:ext cx="1162"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C7C9407">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粗提取</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箭头连接符 11"/>
                            <wps:cNvCnPr>
                              <a:stCxn id="6" idx="3"/>
                              <a:endCxn id="7" idx="1"/>
                            </wps:cNvCnPr>
                            <wps:spPr>
                              <a:xfrm flipV="1">
                                <a:off x="6933" y="90772"/>
                                <a:ext cx="318" cy="1"/>
                              </a:xfrm>
                              <a:prstGeom prst="straightConnector1">
                                <a:avLst/>
                              </a:prstGeom>
                              <a:noFill/>
                              <a:ln w="9525">
                                <a:solidFill>
                                  <a:srgbClr val="000000"/>
                                </a:solidFill>
                                <a:round/>
                                <a:tailEnd type="arrow"/>
                              </a:ln>
                            </wps:spPr>
                            <wps:bodyPr/>
                          </wps:wsp>
                          <wps:wsp>
                            <wps:cNvPr id="13" name="左大括号 13"/>
                            <wps:cNvSpPr/>
                            <wps:spPr>
                              <a:xfrm rot="16200000">
                                <a:off x="6058" y="88864"/>
                                <a:ext cx="540" cy="4309"/>
                              </a:xfrm>
                              <a:prstGeom prst="leftBrace">
                                <a:avLst/>
                              </a:prstGeom>
                              <a:noFill/>
                              <a:ln w="9525">
                                <a:solidFill>
                                  <a:srgbClr val="000000"/>
                                </a:solidFill>
                                <a:round/>
                              </a:ln>
                            </wps:spPr>
                            <wps:bodyPr/>
                          </wps:wsp>
                          <wps:wsp>
                            <wps:cNvPr id="14" name="文本框 14"/>
                            <wps:cNvSpPr txBox="1"/>
                            <wps:spPr>
                              <a:xfrm>
                                <a:off x="5738" y="91293"/>
                                <a:ext cx="1215"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6F719DD">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收获与澄清</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23"/>
                            <wps:cNvCnPr>
                              <a:stCxn id="3" idx="3"/>
                              <a:endCxn id="6" idx="1"/>
                            </wps:cNvCnPr>
                            <wps:spPr>
                              <a:xfrm>
                                <a:off x="5413" y="90766"/>
                                <a:ext cx="358" cy="7"/>
                              </a:xfrm>
                              <a:prstGeom prst="straightConnector1">
                                <a:avLst/>
                              </a:prstGeom>
                              <a:noFill/>
                              <a:ln w="9525">
                                <a:solidFill>
                                  <a:srgbClr val="000000"/>
                                </a:solidFill>
                                <a:round/>
                                <a:tailEnd type="arrow"/>
                              </a:ln>
                            </wps:spPr>
                            <wps:bodyPr/>
                          </wps:wsp>
                        </wpg:grpSp>
                        <wpg:grpSp>
                          <wpg:cNvPr id="37" name="组合 37"/>
                          <wpg:cNvGrpSpPr/>
                          <wpg:grpSpPr>
                            <a:xfrm>
                              <a:off x="7671" y="90264"/>
                              <a:ext cx="2997" cy="1260"/>
                              <a:chOff x="7994" y="90264"/>
                              <a:chExt cx="2997" cy="1260"/>
                            </a:xfrm>
                          </wpg:grpSpPr>
                          <wps:wsp>
                            <wps:cNvPr id="8" name="文本框 8"/>
                            <wps:cNvSpPr txBox="1"/>
                            <wps:spPr>
                              <a:xfrm>
                                <a:off x="7994" y="90570"/>
                                <a:ext cx="1162" cy="604"/>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B7049EA">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初级纯化（捕获）</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9579" y="90348"/>
                                <a:ext cx="1162" cy="3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F0B2995">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亲和层析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9588" y="91118"/>
                                <a:ext cx="1403" cy="3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747BA17">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离子交换层析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左大括号 36"/>
                            <wps:cNvSpPr/>
                            <wps:spPr>
                              <a:xfrm>
                                <a:off x="9158" y="90264"/>
                                <a:ext cx="456" cy="1260"/>
                              </a:xfrm>
                              <a:prstGeom prst="leftBrace">
                                <a:avLst/>
                              </a:prstGeom>
                              <a:noFill/>
                              <a:ln w="9525">
                                <a:solidFill>
                                  <a:srgbClr val="000000"/>
                                </a:solidFill>
                                <a:round/>
                              </a:ln>
                            </wps:spPr>
                            <wps:bodyPr/>
                          </wps:wsp>
                        </wpg:grpSp>
                        <wpg:grpSp>
                          <wpg:cNvPr id="42" name="组合 42"/>
                          <wpg:cNvGrpSpPr/>
                          <wpg:grpSpPr>
                            <a:xfrm>
                              <a:off x="7617" y="92004"/>
                              <a:ext cx="3139" cy="1267"/>
                              <a:chOff x="7692" y="92087"/>
                              <a:chExt cx="3139" cy="1267"/>
                            </a:xfrm>
                          </wpg:grpSpPr>
                          <wps:wsp>
                            <wps:cNvPr id="15" name="文本框 15"/>
                            <wps:cNvSpPr txBox="1"/>
                            <wps:spPr>
                              <a:xfrm>
                                <a:off x="7692" y="92530"/>
                                <a:ext cx="1269" cy="397"/>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697614C">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精纯（精制）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文本框 26"/>
                            <wps:cNvSpPr txBox="1"/>
                            <wps:spPr>
                              <a:xfrm>
                                <a:off x="9415" y="92230"/>
                                <a:ext cx="1162" cy="3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FE98BAD">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疏水层析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29"/>
                            <wps:cNvSpPr txBox="1"/>
                            <wps:spPr>
                              <a:xfrm>
                                <a:off x="9428" y="92938"/>
                                <a:ext cx="1403" cy="36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855628D">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分子排阻层析</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左大括号 41"/>
                            <wps:cNvSpPr/>
                            <wps:spPr>
                              <a:xfrm>
                                <a:off x="8967" y="92087"/>
                                <a:ext cx="472" cy="1267"/>
                              </a:xfrm>
                              <a:prstGeom prst="leftBrace">
                                <a:avLst/>
                              </a:prstGeom>
                              <a:noFill/>
                              <a:ln w="9525">
                                <a:solidFill>
                                  <a:srgbClr val="000000"/>
                                </a:solidFill>
                                <a:round/>
                              </a:ln>
                            </wps:spPr>
                            <wps:bodyPr/>
                          </wps:wsp>
                        </wpg:grpSp>
                        <wpg:grpSp>
                          <wpg:cNvPr id="47" name="组合 47"/>
                          <wpg:cNvGrpSpPr/>
                          <wpg:grpSpPr>
                            <a:xfrm>
                              <a:off x="3510" y="91773"/>
                              <a:ext cx="4611" cy="1078"/>
                              <a:chOff x="3833" y="91773"/>
                              <a:chExt cx="4611" cy="1078"/>
                            </a:xfrm>
                          </wpg:grpSpPr>
                          <wps:wsp>
                            <wps:cNvPr id="16" name="文本框 16"/>
                            <wps:cNvSpPr txBox="1"/>
                            <wps:spPr>
                              <a:xfrm>
                                <a:off x="5563" y="92454"/>
                                <a:ext cx="1269" cy="397"/>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ACC362">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成品处理</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6" name="组合 46"/>
                            <wpg:cNvGrpSpPr/>
                            <wpg:grpSpPr>
                              <a:xfrm>
                                <a:off x="3833" y="91773"/>
                                <a:ext cx="4611" cy="682"/>
                                <a:chOff x="3750" y="91773"/>
                                <a:chExt cx="4611" cy="682"/>
                              </a:xfrm>
                            </wpg:grpSpPr>
                            <wps:wsp>
                              <wps:cNvPr id="31" name="文本框 31"/>
                              <wps:cNvSpPr txBox="1"/>
                              <wps:spPr>
                                <a:xfrm>
                                  <a:off x="5714" y="91773"/>
                                  <a:ext cx="1162"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CA5BC96">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除菌过滤</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2"/>
                              <wps:cNvSpPr txBox="1"/>
                              <wps:spPr>
                                <a:xfrm>
                                  <a:off x="3789" y="91782"/>
                                  <a:ext cx="1690" cy="3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0A9D59D">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终产品溶液/冻干</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直接箭头连接符 43"/>
                              <wps:cNvCnPr>
                                <a:stCxn id="30" idx="1"/>
                                <a:endCxn id="31" idx="3"/>
                              </wps:cNvCnPr>
                              <wps:spPr>
                                <a:xfrm flipH="1">
                                  <a:off x="6876" y="91957"/>
                                  <a:ext cx="271" cy="1"/>
                                </a:xfrm>
                                <a:prstGeom prst="straightConnector1">
                                  <a:avLst/>
                                </a:prstGeom>
                                <a:noFill/>
                                <a:ln w="9525">
                                  <a:solidFill>
                                    <a:srgbClr val="000000"/>
                                  </a:solidFill>
                                  <a:round/>
                                  <a:tailEnd type="arrow"/>
                                </a:ln>
                              </wps:spPr>
                              <wps:bodyPr/>
                            </wps:wsp>
                            <wps:wsp>
                              <wps:cNvPr id="44" name="直接箭头连接符 44"/>
                              <wps:cNvCnPr>
                                <a:stCxn id="31" idx="1"/>
                                <a:endCxn id="32" idx="3"/>
                              </wps:cNvCnPr>
                              <wps:spPr>
                                <a:xfrm flipH="1">
                                  <a:off x="5479" y="91958"/>
                                  <a:ext cx="235" cy="9"/>
                                </a:xfrm>
                                <a:prstGeom prst="straightConnector1">
                                  <a:avLst/>
                                </a:prstGeom>
                                <a:noFill/>
                                <a:ln w="9525">
                                  <a:solidFill>
                                    <a:srgbClr val="000000"/>
                                  </a:solidFill>
                                  <a:round/>
                                  <a:tailEnd type="arrow"/>
                                </a:ln>
                              </wps:spPr>
                              <wps:bodyPr/>
                            </wps:wsp>
                            <wps:wsp>
                              <wps:cNvPr id="45" name="左大括号 45"/>
                              <wps:cNvSpPr/>
                              <wps:spPr>
                                <a:xfrm rot="16200000">
                                  <a:off x="5815" y="89909"/>
                                  <a:ext cx="481" cy="4611"/>
                                </a:xfrm>
                                <a:prstGeom prst="leftBrace">
                                  <a:avLst/>
                                </a:prstGeom>
                                <a:noFill/>
                                <a:ln w="9525">
                                  <a:solidFill>
                                    <a:srgbClr val="000000"/>
                                  </a:solidFill>
                                  <a:round/>
                                </a:ln>
                              </wps:spPr>
                              <wps:bodyPr/>
                            </wps:wsp>
                          </wpg:grpSp>
                        </wpg:grpSp>
                      </wpg:grpSp>
                    </wpg:wgp>
                  </a:graphicData>
                </a:graphic>
              </wp:anchor>
            </w:drawing>
          </mc:Choice>
          <mc:Fallback>
            <w:pict>
              <v:group id="_x0000_s1026" o:spid="_x0000_s1026" o:spt="203" style="position:absolute;left:0pt;margin-left:28.8pt;margin-top:13.65pt;height:163.95pt;width:402.9pt;mso-wrap-distance-left:9pt;mso-wrap-distance-right:9pt;z-index:-251654144;mso-width-relative:page;mso-height-relative:page;" coordorigin="2698,89992" coordsize="8058,3279" wrapcoords="3198 -46 2957 1732 3117 3116 -19 3511 -19 8056 14617 9440 2072 11416 2072 12602 -19 15566 -19 19518 17030 21495 17995 21495 21533 21297 21533 18728 21050 15764 21131 14183 18638 12997 16065 12602 21453 10033 21533 7266 21050 7068 17190 6278 19040 6278 20890 4697 20970 2325 14698 -46 3198 -46" o:gfxdata="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">
                <o:lock v:ext="edit" aspectratio="f"/>
                <v:shape id="_x0000_s1026" o:spid="_x0000_s1026" o:spt="202" type="#_x0000_t202" style="position:absolute;left:6907;top:91772;height:370;width:1147;" fillcolor="#FFFFFF [3201]" filled="t" stroked="t" coordsize="21600,21600" o:gfxdata="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3Qd5G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015B3926">
                        <w:pPr>
                          <w:keepNext w:val="0"/>
                          <w:keepLines w:val="0"/>
                          <w:pageBreakBefore w:val="0"/>
                          <w:widowControl w:val="0"/>
                          <w:kinsoku/>
                          <w:wordWrap/>
                          <w:overflowPunct/>
                          <w:topLinePunct w:val="0"/>
                          <w:bidi w:val="0"/>
                          <w:adjustRightInd w:val="0"/>
                          <w:snapToGrid/>
                          <w:spacing w:line="240" w:lineRule="auto"/>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超滤/渗滤</w:t>
                        </w:r>
                      </w:p>
                    </w:txbxContent>
                  </v:textbox>
                </v:shape>
                <v:group id="_x0000_s1026" o:spid="_x0000_s1026" o:spt="203" style="position:absolute;left:2698;top:89992;height:3279;width:8058;" coordorigin="2698,89992" coordsize="8058,3279"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_x0000_s1026" o:spid="_x0000_s1026" o:spt="202" type="#_x0000_t202" style="position:absolute;left:2698;top:90575;height:615;width:1080;" fillcolor="#FFFFFF [3201]" filled="t" stroked="t" coordsize="21600,21600" o:gfxdata="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mIqhotAAAANo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7EF75378">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发酵液</w:t>
                          </w:r>
                          <w:r>
                            <w:rPr>
                              <w:rFonts w:hint="eastAsia" w:ascii="宋体" w:hAnsi="宋体" w:eastAsia="宋体" w:cs="宋体"/>
                              <w:sz w:val="18"/>
                              <w:szCs w:val="18"/>
                              <w:lang w:val="en-US" w:eastAsia="zh-CN"/>
                            </w:rPr>
                            <w:t>/细胞裂解液</w:t>
                          </w:r>
                        </w:p>
                      </w:txbxContent>
                    </v:textbox>
                  </v:shape>
                  <v:shape id="_x0000_s1026" o:spid="_x0000_s1026" o:spt="202" type="#_x0000_t202" style="position:absolute;left:2717;top:92359;height:585;width:1080;" fillcolor="#FFFFFF [3201]" filled="t" stroked="t" coordsize="21600,21600" o:gfxdata="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cx0aUr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14:paraId="5EAA3C99">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质量检验与放行</w:t>
                          </w:r>
                        </w:p>
                      </w:txbxContent>
                    </v:textbox>
                  </v:shape>
                  <v:shape id="_x0000_s1026" o:spid="_x0000_s1026" o:spt="32" type="#_x0000_t32" style="position:absolute;left:3778;top:90883;height:6;width:1670;" filled="f" stroked="t" coordsize="21600,21600" o:gfxdata="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LaRnvQAA&#10;ANsAAAAPAAAAAAAAAAEAIAAAACIAAABkcnMvZG93bnJldi54bWxQSwECFAAUAAAACACHTuJAMy8F&#10;njsAAAA5AAAAEAAAAAAAAAABACAAAAAMAQAAZHJzL3NoYXBleG1sLnhtbFBLBQYAAAAABgAGAFsB&#10;AAC2AwAAAAA=&#10;">
                    <v:fill on="f" focussize="0,0"/>
                    <v:stroke color="#000000 [3213]" joinstyle="round" endarrow="open"/>
                    <v:imagedata o:title=""/>
                    <o:lock v:ext="edit" aspectratio="f"/>
                  </v:shape>
                  <v:shape id="_x0000_s1026" o:spid="_x0000_s1026" o:spt="32" type="#_x0000_t32" style="position:absolute;left:6663;top:90872;flip:y;height:17;width:1008;"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3797;top:92652;flip:x y;height:1;width:1443;" filled="f" stroked="t" coordsize="21600,21600" o:gfxdata="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LY9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8252;top:91174;height:1273;width:0;" filled="f" stroked="t" coordsize="21600,21600" o:gfxdata="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XvHR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32" type="#_x0000_t32" style="position:absolute;left:6509;top:92646;flip:x;height:7;width:1108;" filled="f" stroked="t" coordsize="21600,21600" o:gfxdata="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Qlgv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group id="_x0000_s1026" o:spid="_x0000_s1026" o:spt="203" style="position:absolute;left:3884;top:89992;height:1082;width:4308;" coordorigin="4174,90581" coordsize="4308,1082"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4251;top:90581;height:369;width:1162;" fillcolor="#FFFFFF [3201]" filled="t" stroked="t" coordsize="21600,21600" o:gfxdata="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m8k4S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43F78D41">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细胞</w:t>
                            </w:r>
                            <w:r>
                              <w:rPr>
                                <w:rFonts w:hint="eastAsia" w:ascii="宋体" w:hAnsi="宋体" w:cs="宋体"/>
                                <w:sz w:val="18"/>
                                <w:szCs w:val="18"/>
                                <w:lang w:val="en-US" w:eastAsia="zh-CN"/>
                              </w:rPr>
                              <w:t>破碎</w:t>
                            </w:r>
                          </w:p>
                        </w:txbxContent>
                      </v:textbox>
                    </v:shape>
                    <v:shape id="_x0000_s1026" o:spid="_x0000_s1026" o:spt="202" type="#_x0000_t202" style="position:absolute;left:5771;top:90588;height:370;width:1162;" fillcolor="#FFFFFF [3201]" filled="t" stroked="t" coordsize="21600,21600" o:gfxdata="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nLMBy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63423E52">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离心/过滤</w:t>
                            </w:r>
                          </w:p>
                        </w:txbxContent>
                      </v:textbox>
                    </v:shape>
                    <v:shape id="_x0000_s1026" o:spid="_x0000_s1026" o:spt="202" type="#_x0000_t202" style="position:absolute;left:7251;top:90587;height:370;width:1162;" fillcolor="#FFFFFF [3201]" filled="t" stroked="t" coordsize="21600,21600" o:gfxdata="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aHlYe2AAAA2g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4C7C9407">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粗提取</w:t>
                            </w:r>
                          </w:p>
                        </w:txbxContent>
                      </v:textbox>
                    </v:shape>
                    <v:shape id="_x0000_s1026" o:spid="_x0000_s1026" o:spt="32" type="#_x0000_t32" style="position:absolute;left:6933;top:90772;flip:y;height:1;width:318;" filled="f" stroked="t" coordsize="21600,21600" o:gfxdata="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vwM5b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shape id="_x0000_s1026" o:spid="_x0000_s1026" o:spt="87" type="#_x0000_t87" style="position:absolute;left:6058;top:88864;height:4309;width:540;rotation:-5898240f;" filled="f" stroked="t" coordsize="21600,21600" o:gfxdata="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cB3m8AAAA&#10;2wAAAA8AAAAAAAAAAQAgAAAAIgAAAGRycy9kb3ducmV2LnhtbFBLAQIUABQAAAAIAIdO4kAzLwWe&#10;OwAAADkAAAAQAAAAAAAAAAEAIAAAAAsBAABkcnMvc2hhcGV4bWwueG1sUEsFBgAAAAAGAAYAWwEA&#10;ALUDAAAAAA==&#10;" adj="225,10800">
                      <v:fill on="f" focussize="0,0"/>
                      <v:stroke color="#000000" joinstyle="round"/>
                      <v:imagedata o:title=""/>
                      <o:lock v:ext="edit" aspectratio="f"/>
                    </v:shape>
                    <v:shape id="_x0000_s1026" o:spid="_x0000_s1026" o:spt="202" type="#_x0000_t202" style="position:absolute;left:5738;top:91293;height:370;width:1215;" fillcolor="#FFFFFF [3201]" filled="t" stroked="t" coordsize="21600,21600" o:gfxdata="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g8+EJb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14:paraId="06F719DD">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收获与澄清</w:t>
                            </w:r>
                          </w:p>
                        </w:txbxContent>
                      </v:textbox>
                    </v:shape>
                    <v:shape id="_x0000_s1026" o:spid="_x0000_s1026" o:spt="32" type="#_x0000_t32" style="position:absolute;left:5413;top:90766;height:7;width:358;" filled="f" stroked="t" coordsize="21600,21600" o:gfxdata="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uX8q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group>
                  <v:group id="_x0000_s1026" o:spid="_x0000_s1026" o:spt="203" style="position:absolute;left:7671;top:90264;height:1260;width:2997;" coordorigin="7994,90264" coordsize="2997,1260" o:gfxdata="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lJVA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7994;top:90570;height:604;width:1162;" fillcolor="#FFFFFF [3201]" filled="t" stroked="t" coordsize="21600,21600" o:gfxdata="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PcYAfWzAAAA2gAAAA8AAAAA&#10;AAAAAQAgAAAAIgAAAGRycy9kb3ducmV2LnhtbFBLAQIUABQAAAAIAIdO4kAzLwWeOwAAADkAAAAQ&#10;AAAAAAAAAAEAIAAAAAIBAABkcnMvc2hhcGV4bWwueG1sUEsFBgAAAAAGAAYAWwEAAKwDAAAAAA==&#10;">
                      <v:fill on="t" focussize="0,0"/>
                      <v:stroke weight="0.5pt" color="#000000 [3204]" joinstyle="round"/>
                      <v:imagedata o:title=""/>
                      <o:lock v:ext="edit" aspectratio="f"/>
                      <v:textbox>
                        <w:txbxContent>
                          <w:p w14:paraId="6B7049EA">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初级纯化（捕获）</w:t>
                            </w:r>
                          </w:p>
                        </w:txbxContent>
                      </v:textbox>
                    </v:shape>
                    <v:shape id="_x0000_s1026" o:spid="_x0000_s1026" o:spt="202" type="#_x0000_t202" style="position:absolute;left:9579;top:90348;height:369;width:1162;" fillcolor="#FFFFFF [3201]"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7F0B2995">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亲和层析</w:t>
                            </w:r>
                          </w:p>
                        </w:txbxContent>
                      </v:textbox>
                    </v:shape>
                    <v:shape id="_x0000_s1026" o:spid="_x0000_s1026" o:spt="202" type="#_x0000_t202" style="position:absolute;left:9588;top:91118;height:369;width:1403;" fillcolor="#FFFFFF [3201]" filled="t" stroked="t" coordsize="21600,21600" o:gfxdata="UEsDBAoAAAAAAIdO4kAAAAAAAAAAAAAAAAAEAAAAZHJzL1BLAwQUAAAACACHTuJAIu/rA7cAAADb&#10;AAAADwAAAGRycy9kb3ducmV2LnhtbEWPwQrCMBBE74L/EFbwpqkVRa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i7+sD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0747BA17">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离子交换层析</w:t>
                            </w:r>
                          </w:p>
                        </w:txbxContent>
                      </v:textbox>
                    </v:shape>
                    <v:shape id="_x0000_s1026" o:spid="_x0000_s1026" o:spt="87" type="#_x0000_t87" style="position:absolute;left:9158;top:90264;height:1260;width:456;" filled="f" stroked="t" coordsize="21600,21600" o:gfxdata="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0/wTvQAA&#10;ANsAAAAPAAAAAAAAAAEAIAAAACIAAABkcnMvZG93bnJldi54bWxQSwECFAAUAAAACACHTuJAMy8F&#10;njsAAAA5AAAAEAAAAAAAAAABACAAAAAMAQAAZHJzL3NoYXBleG1sLnhtbFBLBQYAAAAABgAGAFsB&#10;AAC2AwAAAAA=&#10;" adj="651,10800">
                      <v:fill on="f" focussize="0,0"/>
                      <v:stroke color="#000000" joinstyle="round"/>
                      <v:imagedata o:title=""/>
                      <o:lock v:ext="edit" aspectratio="f"/>
                    </v:shape>
                  </v:group>
                  <v:group id="_x0000_s1026" o:spid="_x0000_s1026" o:spt="203" style="position:absolute;left:7617;top:92004;height:1267;width:3139;" coordorigin="7692,92087" coordsize="3139,1267"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7692;top:92530;height:397;width:1269;" fillcolor="#FFFFFF [3201]" filled="t" stroked="t" coordsize="21600,21600" o:gfxdata="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7IMhvrUAAADbAAAADwAA&#10;AAAAAAABACAAAAAiAAAAZHJzL2Rvd25yZXYueG1sUEsBAhQAFAAAAAgAh07iQDMvBZ47AAAAOQAA&#10;ABAAAAAAAAAAAQAgAAAABAEAAGRycy9zaGFwZXhtbC54bWxQSwUGAAAAAAYABgBbAQAArgMAAAAA&#10;">
                      <v:fill on="t" focussize="0,0"/>
                      <v:stroke weight="0.5pt" color="#000000 [3204]" joinstyle="round"/>
                      <v:imagedata o:title=""/>
                      <o:lock v:ext="edit" aspectratio="f"/>
                      <v:textbox>
                        <w:txbxContent>
                          <w:p w14:paraId="6697614C">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精纯（精制）</w:t>
                            </w:r>
                          </w:p>
                        </w:txbxContent>
                      </v:textbox>
                    </v:shape>
                    <v:shape id="_x0000_s1026" o:spid="_x0000_s1026" o:spt="202" type="#_x0000_t202" style="position:absolute;left:9415;top:92230;height:369;width:1162;" fillcolor="#FFFFFF [3201]" filled="t" stroked="t" coordsize="21600,21600" o:gfxdata="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I9dXS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1FE98BAD">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疏水层析</w:t>
                            </w:r>
                          </w:p>
                        </w:txbxContent>
                      </v:textbox>
                    </v:shape>
                    <v:shape id="_x0000_s1026" o:spid="_x0000_s1026" o:spt="202" type="#_x0000_t202" style="position:absolute;left:9428;top:92938;height:369;width:1403;" fillcolor="#FFFFFF [3201]" filled="t" stroked="t" coordsize="21600,21600" o:gfxdata="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jouEG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14:paraId="2855628D">
                            <w:pPr>
                              <w:keepNext w:val="0"/>
                              <w:keepLines w:val="0"/>
                              <w:pageBreakBefore w:val="0"/>
                              <w:widowControl w:val="0"/>
                              <w:kinsoku/>
                              <w:wordWrap/>
                              <w:overflowPunct/>
                              <w:topLinePunct w:val="0"/>
                              <w:bidi w:val="0"/>
                              <w:adjustRightInd w:val="0"/>
                              <w:snapToGrid/>
                              <w:spacing w:line="240" w:lineRule="auto"/>
                              <w:jc w:val="center"/>
                              <w:textAlignment w:val="auto"/>
                              <w:rPr>
                                <w:rFonts w:hint="eastAsia" w:ascii="宋体" w:hAnsi="宋体" w:eastAsia="宋体" w:cs="宋体"/>
                                <w:sz w:val="18"/>
                                <w:szCs w:val="18"/>
                                <w:lang w:val="en-US" w:eastAsia="zh-CN"/>
                              </w:rPr>
                            </w:pPr>
                            <w:r>
                              <w:rPr>
                                <w:rFonts w:hint="eastAsia" w:ascii="宋体" w:hAnsi="宋体" w:cs="宋体"/>
                                <w:sz w:val="18"/>
                                <w:szCs w:val="18"/>
                                <w:lang w:val="en-US" w:eastAsia="zh-CN"/>
                              </w:rPr>
                              <w:t>分子排阻层析</w:t>
                            </w:r>
                          </w:p>
                        </w:txbxContent>
                      </v:textbox>
                    </v:shape>
                    <v:shape id="_x0000_s1026" o:spid="_x0000_s1026" o:spt="87" type="#_x0000_t87" style="position:absolute;left:8967;top:92087;height:1267;width:472;" filled="f" stroked="t" coordsize="21600,21600" o:gfxdata="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RZb+r4A&#10;AADbAAAADwAAAAAAAAABACAAAAAiAAAAZHJzL2Rvd25yZXYueG1sUEsBAhQAFAAAAAgAh07iQDMv&#10;BZ47AAAAOQAAABAAAAAAAAAAAQAgAAAADQEAAGRycy9zaGFwZXhtbC54bWxQSwUGAAAAAAYABgBb&#10;AQAAtwMAAAAA&#10;" adj="670,10800">
                      <v:fill on="f" focussize="0,0"/>
                      <v:stroke color="#000000" joinstyle="round"/>
                      <v:imagedata o:title=""/>
                      <o:lock v:ext="edit" aspectratio="f"/>
                    </v:shape>
                  </v:group>
                  <v:group id="_x0000_s1026" o:spid="_x0000_s1026" o:spt="203" style="position:absolute;left:3510;top:91773;height:1078;width:4611;" coordorigin="3833,91773" coordsize="4611,1078"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5563;top:92454;height:397;width:1269;" fillcolor="#FFFFFF [3201]" filled="t" stroked="t" coordsize="21600,21600" o:gfxdata="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cUb/JtAAAANsAAAAPAAAA&#10;AAAAAAEAIAAAACIAAABkcnMvZG93bnJldi54bWxQSwECFAAUAAAACACHTuJAMy8FnjsAAAA5AAAA&#10;EAAAAAAAAAABACAAAAADAQAAZHJzL3NoYXBleG1sLnhtbFBLBQYAAAAABgAGAFsBAACtAwAAAAA=&#10;">
                      <v:fill on="t" focussize="0,0"/>
                      <v:stroke weight="0.5pt" color="#000000 [3204]" joinstyle="round"/>
                      <v:imagedata o:title=""/>
                      <o:lock v:ext="edit" aspectratio="f"/>
                      <v:textbox>
                        <w:txbxContent>
                          <w:p w14:paraId="5CACC362">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成品处理</w:t>
                            </w:r>
                          </w:p>
                        </w:txbxContent>
                      </v:textbox>
                    </v:shape>
                    <v:group id="_x0000_s1026" o:spid="_x0000_s1026" o:spt="203" style="position:absolute;left:3833;top:91773;height:682;width:4611;" coordorigin="3750,91773" coordsize="4611,682"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5714;top:91773;height:370;width:1162;" fillcolor="#FFFFFF [3201]" filled="t" stroked="t" coordsize="21600,21600" o:gfxdata="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gNe92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0CA5BC96">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除菌过滤</w:t>
                              </w:r>
                            </w:p>
                          </w:txbxContent>
                        </v:textbox>
                      </v:shape>
                      <v:shape id="_x0000_s1026" o:spid="_x0000_s1026" o:spt="202" type="#_x0000_t202" style="position:absolute;left:3789;top:91782;height:370;width:1690;" fillcolor="#FFFFFF [3201]" filled="t" stroked="t" coordsize="21600,21600" o:gfxdata="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jf5aq2AAAA2wAAAA8A&#10;AAAAAAAAAQAgAAAAIgAAAGRycy9kb3ducmV2LnhtbFBLAQIUABQAAAAIAIdO4kAzLwWeOwAAADkA&#10;AAAQAAAAAAAAAAEAIAAAAAUBAABkcnMvc2hhcGV4bWwueG1sUEsFBgAAAAAGAAYAWwEAAK8DAAAA&#10;AA==&#10;">
                        <v:fill on="t" focussize="0,0"/>
                        <v:stroke weight="0.5pt" color="#000000 [3204]" joinstyle="round"/>
                        <v:imagedata o:title=""/>
                        <o:lock v:ext="edit" aspectratio="f"/>
                        <v:textbox>
                          <w:txbxContent>
                            <w:p w14:paraId="60A9D59D">
                              <w:pPr>
                                <w:keepNext w:val="0"/>
                                <w:keepLines w:val="0"/>
                                <w:pageBreakBefore w:val="0"/>
                                <w:widowControl w:val="0"/>
                                <w:kinsoku/>
                                <w:wordWrap/>
                                <w:overflowPunct/>
                                <w:topLinePunct w:val="0"/>
                                <w:bidi w:val="0"/>
                                <w:adjustRightInd w:val="0"/>
                                <w:snapToGrid/>
                                <w:spacing w:line="24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终产品溶液/冻干</w:t>
                              </w:r>
                            </w:p>
                          </w:txbxContent>
                        </v:textbox>
                      </v:shape>
                      <v:shape id="_x0000_s1026" o:spid="_x0000_s1026" o:spt="32" type="#_x0000_t32" style="position:absolute;left:6876;top:91957;flip:x;height:1;width:271;" filled="f" stroked="t" coordsize="21600,21600" o:gfxdata="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tEYFL4A&#10;AADbAAAADwAAAAAAAAABACAAAAAiAAAAZHJzL2Rvd25yZXYueG1sUEsBAhQAFAAAAAgAh07iQDMv&#10;BZ47AAAAOQAAABAAAAAAAAAAAQAgAAAADQEAAGRycy9zaGFwZXhtbC54bWxQSwUGAAAAAAYABgBb&#10;AQAAtwMAAAAA&#10;">
                        <v:fill on="f" focussize="0,0"/>
                        <v:stroke color="#000000" joinstyle="round" endarrow="open"/>
                        <v:imagedata o:title=""/>
                        <o:lock v:ext="edit" aspectratio="f"/>
                      </v:shape>
                      <v:shape id="_x0000_s1026" o:spid="_x0000_s1026" o:spt="32" type="#_x0000_t32" style="position:absolute;left:5479;top:91958;flip:x;height:9;width:235;" filled="f" stroked="t" coordsize="21600,21600" o:gfxdata="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OIBg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87" type="#_x0000_t87" style="position:absolute;left:5815;top:89909;height:4611;width:481;rotation:-5898240f;" filled="f" stroked="t" coordsize="21600,21600" o:gfxdata="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rna6b4A&#10;AADbAAAADwAAAAAAAAABACAAAAAiAAAAZHJzL2Rvd25yZXYueG1sUEsBAhQAFAAAAAgAh07iQDMv&#10;BZ47AAAAOQAAABAAAAAAAAAAAQAgAAAADQEAAGRycy9zaGFwZXhtbC54bWxQSwUGAAAAAAYABgBb&#10;AQAAtwMAAAAA&#10;" adj="187,10800">
                        <v:fill on="f" focussize="0,0"/>
                        <v:stroke color="#000000" joinstyle="round"/>
                        <v:imagedata o:title=""/>
                        <o:lock v:ext="edit" aspectratio="f"/>
                      </v:shape>
                    </v:group>
                  </v:group>
                </v:group>
                <w10:wrap type="tight"/>
              </v:group>
            </w:pict>
          </mc:Fallback>
        </mc:AlternateContent>
      </w:r>
    </w:p>
    <w:p w14:paraId="26C35BC3">
      <w:pPr>
        <w:pStyle w:val="57"/>
        <w:ind w:firstLine="420"/>
        <w:rPr>
          <w:rFonts w:hint="eastAsia"/>
          <w:lang w:val="en-US" w:eastAsia="zh-CN"/>
        </w:rPr>
      </w:pPr>
    </w:p>
    <w:p w14:paraId="7535BDFB">
      <w:pPr>
        <w:pStyle w:val="57"/>
        <w:ind w:firstLine="420"/>
        <w:rPr>
          <w:rFonts w:hint="eastAsia"/>
          <w:lang w:val="en-US" w:eastAsia="zh-CN"/>
        </w:rPr>
      </w:pPr>
    </w:p>
    <w:p w14:paraId="1A0C8EA8">
      <w:pPr>
        <w:pStyle w:val="57"/>
        <w:ind w:firstLine="420"/>
        <w:rPr>
          <w:rFonts w:hint="eastAsia"/>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4907915</wp:posOffset>
                </wp:positionH>
                <wp:positionV relativeFrom="paragraph">
                  <wp:posOffset>122555</wp:posOffset>
                </wp:positionV>
                <wp:extent cx="0" cy="261620"/>
                <wp:effectExtent l="48895" t="0" r="65405" b="5080"/>
                <wp:wrapNone/>
                <wp:docPr id="4" name="直接箭头连接符 4"/>
                <wp:cNvGraphicFramePr/>
                <a:graphic xmlns:a="http://schemas.openxmlformats.org/drawingml/2006/main">
                  <a:graphicData uri="http://schemas.microsoft.com/office/word/2010/wordprocessingShape">
                    <wps:wsp>
                      <wps:cNvCnPr/>
                      <wps:spPr>
                        <a:xfrm>
                          <a:off x="0" y="0"/>
                          <a:ext cx="0" cy="261620"/>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margin-left:386.45pt;margin-top:9.65pt;height:20.6pt;width:0pt;z-index:251663360;mso-width-relative:page;mso-height-relative:page;" filled="f" stroked="t" coordsize="21600,21600" o:gfxdata="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VM+P1gAAAAkBAAAPAAAAAAAA&#10;AAEAIAAAACIAAABkcnMvZG93bnJldi54bWxQSwECFAAUAAAACACHTuJAHjPD/NsBAACWAwAADgAA&#10;AAAAAAABACAAAAAlAQAAZHJzL2Uyb0RvYy54bWxQSwUGAAAAAAYABgBZAQAAcgUAAAAA&#10;">
                <v:fill on="f" focussize="0,0"/>
                <v:stroke color="#000000" joinstyle="round" endarrow="open"/>
                <v:imagedata o:title=""/>
                <o:lock v:ext="edit" aspectratio="f"/>
              </v:shape>
            </w:pict>
          </mc:Fallback>
        </mc:AlternateContent>
      </w:r>
    </w:p>
    <w:p w14:paraId="08CE6228">
      <w:pPr>
        <w:pStyle w:val="57"/>
        <w:ind w:firstLine="420"/>
        <w:rPr>
          <w:rFonts w:hint="default"/>
          <w:lang w:val="en-US" w:eastAsia="zh-CN"/>
        </w:rPr>
      </w:pPr>
    </w:p>
    <w:p w14:paraId="17CFCF17">
      <w:pPr>
        <w:pStyle w:val="57"/>
        <w:ind w:firstLine="420"/>
        <w:rPr>
          <w:lang w:bidi="ar"/>
        </w:rPr>
      </w:pPr>
    </w:p>
    <w:p w14:paraId="24F92B4B">
      <w:pPr>
        <w:pStyle w:val="57"/>
        <w:ind w:firstLine="420"/>
        <w:rPr>
          <w:lang w:bidi="ar"/>
        </w:rPr>
      </w:pPr>
    </w:p>
    <w:p w14:paraId="76AE9E28">
      <w:pPr>
        <w:pStyle w:val="57"/>
        <w:ind w:firstLine="420"/>
        <w:rPr>
          <w:lang w:bidi="ar"/>
        </w:rPr>
      </w:pPr>
    </w:p>
    <w:p w14:paraId="1B7D4DF3">
      <w:pPr>
        <w:pStyle w:val="57"/>
        <w:ind w:firstLine="420"/>
        <w:rPr>
          <w:lang w:bidi="ar"/>
        </w:rPr>
      </w:pPr>
    </w:p>
    <w:p w14:paraId="7696A433">
      <w:pPr>
        <w:pStyle w:val="57"/>
        <w:ind w:firstLine="420"/>
        <w:rPr>
          <w:lang w:bidi="ar"/>
        </w:rPr>
      </w:pPr>
    </w:p>
    <w:p w14:paraId="2581C2D3">
      <w:pPr>
        <w:pStyle w:val="57"/>
        <w:ind w:firstLine="420"/>
        <w:rPr>
          <w:lang w:bidi="ar"/>
        </w:rPr>
      </w:pPr>
      <w:r>
        <mc:AlternateContent>
          <mc:Choice Requires="wps">
            <w:drawing>
              <wp:anchor distT="0" distB="0" distL="114300" distR="114300" simplePos="0" relativeHeight="251664384" behindDoc="0" locked="0" layoutInCell="1" allowOverlap="1">
                <wp:simplePos x="0" y="0"/>
                <wp:positionH relativeFrom="column">
                  <wp:posOffset>4949190</wp:posOffset>
                </wp:positionH>
                <wp:positionV relativeFrom="paragraph">
                  <wp:posOffset>46990</wp:posOffset>
                </wp:positionV>
                <wp:extent cx="3175" cy="231775"/>
                <wp:effectExtent l="48260" t="0" r="62865" b="15875"/>
                <wp:wrapNone/>
                <wp:docPr id="10" name="直接箭头连接符 10"/>
                <wp:cNvGraphicFramePr/>
                <a:graphic xmlns:a="http://schemas.openxmlformats.org/drawingml/2006/main">
                  <a:graphicData uri="http://schemas.microsoft.com/office/word/2010/wordprocessingShape">
                    <wps:wsp>
                      <wps:cNvCnPr>
                        <a:stCxn id="26" idx="2"/>
                      </wps:cNvCnPr>
                      <wps:spPr>
                        <a:xfrm flipH="1">
                          <a:off x="0" y="0"/>
                          <a:ext cx="3175" cy="2317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89.7pt;margin-top:3.7pt;height:18.25pt;width:0.25pt;z-index:251664384;mso-width-relative:page;mso-height-relative:page;" filled="f" stroked="t" coordsize="21600,21600" o:gfxdata="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Ry8LHWAAAACAEAAA8AAAAAAAAAAQAgAAAAIgAAAGRycy9kb3ducmV2LnhtbFBL&#10;AQIUABQAAAAIAIdO4kCRivJA+AEAAMwDAAAOAAAAAAAAAAEAIAAAACUBAABkcnMvZTJvRG9jLnht&#10;bFBLBQYAAAAABgAGAFkBAACPBQAAAAA=&#10;">
                <v:fill on="f" focussize="0,0"/>
                <v:stroke color="#000000" joinstyle="round" endarrow="open"/>
                <v:imagedata o:title=""/>
                <o:lock v:ext="edit" aspectratio="f"/>
              </v:shape>
            </w:pict>
          </mc:Fallback>
        </mc:AlternateContent>
      </w:r>
    </w:p>
    <w:p w14:paraId="73F94FCF">
      <w:pPr>
        <w:pStyle w:val="57"/>
        <w:ind w:firstLine="420"/>
        <w:rPr>
          <w:lang w:bidi="ar"/>
        </w:rPr>
      </w:pPr>
    </w:p>
    <w:p w14:paraId="2B612FDA">
      <w:pPr>
        <w:pStyle w:val="57"/>
        <w:ind w:firstLine="420"/>
        <w:rPr>
          <w:lang w:bidi="ar"/>
        </w:rPr>
      </w:pPr>
    </w:p>
    <w:p w14:paraId="1933A192">
      <w:pPr>
        <w:pStyle w:val="57"/>
        <w:spacing w:line="360" w:lineRule="auto"/>
        <w:ind w:firstLine="0" w:firstLineChars="0"/>
        <w:jc w:val="center"/>
        <w:rPr>
          <w:rFonts w:hint="default"/>
          <w:b/>
          <w:bCs/>
          <w:lang w:val="en-US" w:eastAsia="zh-CN"/>
        </w:rPr>
      </w:pPr>
      <w:r>
        <w:rPr>
          <w:rFonts w:hint="eastAsia"/>
          <w:b/>
          <w:bCs/>
          <w:lang w:eastAsia="zh-CN"/>
        </w:rPr>
        <w:t>图</w:t>
      </w:r>
      <w:r>
        <w:rPr>
          <w:rFonts w:hint="eastAsia"/>
          <w:b/>
          <w:bCs/>
          <w:lang w:val="en-US" w:eastAsia="zh-CN"/>
        </w:rPr>
        <w:t xml:space="preserve">1 </w:t>
      </w:r>
      <w:r>
        <w:rPr>
          <w:rFonts w:hint="eastAsia"/>
          <w:b/>
          <w:bCs/>
        </w:rPr>
        <w:t>重组胶原蛋白</w:t>
      </w:r>
      <w:r>
        <w:rPr>
          <w:rFonts w:hint="eastAsia"/>
          <w:b/>
          <w:bCs/>
          <w:lang w:eastAsia="zh-CN"/>
        </w:rPr>
        <w:t>纯化工艺流程图</w:t>
      </w:r>
    </w:p>
    <w:p w14:paraId="72E33AC5">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82" w:name="_Toc24224"/>
      <w:bookmarkStart w:id="83" w:name="_Toc13988"/>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6.2　发酵液/细胞裂解液</w:t>
      </w:r>
      <w:bookmarkEnd w:id="82"/>
      <w:bookmarkEnd w:id="83"/>
    </w:p>
    <w:p w14:paraId="30C412B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含有目标重组胶原蛋白的发酵液或细胞裂解液。</w:t>
      </w:r>
      <w:r>
        <w:rPr>
          <w:rFonts w:hint="eastAsia"/>
          <w:lang w:eastAsia="zh-CN" w:bidi="ar"/>
        </w:rPr>
        <w:t>对</w:t>
      </w:r>
      <w:r>
        <w:rPr>
          <w:rFonts w:hint="eastAsia"/>
          <w:lang w:bidi="ar"/>
        </w:rPr>
        <w:t>初始物料进行基本界定与质量控制，是确保整个纯化工艺稳健性和重现性的基础。</w:t>
      </w:r>
    </w:p>
    <w:p w14:paraId="1182B520">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6.2.1　发酵液</w:t>
      </w:r>
    </w:p>
    <w:p w14:paraId="1F33AEEF">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完成预定发酵工艺后，含有高产重组胶原蛋白的工程菌的终止培养液。其成分包括宿主菌体、代谢产物及培养基残留组分</w:t>
      </w:r>
      <w:r>
        <w:rPr>
          <w:rFonts w:hint="eastAsia"/>
          <w:lang w:eastAsia="zh-CN" w:bidi="ar"/>
        </w:rPr>
        <w:t>。</w:t>
      </w:r>
      <w:r>
        <w:rPr>
          <w:rFonts w:hint="eastAsia"/>
          <w:lang w:bidi="ar"/>
        </w:rPr>
        <w:t>发酵过程结束后，应迅速终止反应，并立即冷却（2</w:t>
      </w:r>
      <w:r>
        <w:rPr>
          <w:rFonts w:hint="eastAsia"/>
          <w:lang w:val="en-US" w:eastAsia="zh-CN" w:bidi="ar"/>
        </w:rPr>
        <w:t xml:space="preserve"> </w:t>
      </w:r>
      <w:r>
        <w:rPr>
          <w:rFonts w:hint="eastAsia"/>
          <w:lang w:eastAsia="zh-CN" w:bidi="ar"/>
        </w:rPr>
        <w:t>℃</w:t>
      </w:r>
      <w:r>
        <w:rPr>
          <w:rFonts w:hint="eastAsia"/>
          <w:lang w:bidi="ar"/>
        </w:rPr>
        <w:t>～8</w:t>
      </w:r>
      <w:r>
        <w:rPr>
          <w:rFonts w:hint="eastAsia"/>
          <w:lang w:val="en-US" w:eastAsia="zh-CN" w:bidi="ar"/>
        </w:rPr>
        <w:t xml:space="preserve"> </w:t>
      </w:r>
      <w:r>
        <w:rPr>
          <w:rFonts w:hint="eastAsia"/>
          <w:lang w:eastAsia="zh-CN" w:bidi="ar"/>
        </w:rPr>
        <w:t>℃</w:t>
      </w:r>
      <w:r>
        <w:rPr>
          <w:rFonts w:hint="eastAsia"/>
          <w:lang w:bidi="ar"/>
        </w:rPr>
        <w:t>）以抑制菌体代谢和蛋白降解</w:t>
      </w:r>
      <w:r>
        <w:rPr>
          <w:rFonts w:hint="eastAsia"/>
          <w:lang w:eastAsia="zh-CN" w:bidi="ar"/>
        </w:rPr>
        <w:t>，</w:t>
      </w:r>
      <w:r>
        <w:rPr>
          <w:rFonts w:hint="eastAsia"/>
          <w:lang w:bidi="ar"/>
        </w:rPr>
        <w:t>物料宜在规定时间内转移至下游工序。</w:t>
      </w:r>
    </w:p>
    <w:p w14:paraId="4B6AAFB9">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6.2.2　细胞裂解液</w:t>
      </w:r>
    </w:p>
    <w:p w14:paraId="6F79E658">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哺乳动物细胞、昆虫细胞等真核表达系统在完成培养后，经细胞收获、重悬，并采用物理、化学或酶学方法破碎细胞后所得的均质混合物。细胞破碎应在适宜的缓冲液中进行，以确保目标蛋白稳定性。破碎效率应通过显微镜检查或目标蛋白释放率测定等方法进行确认。</w:t>
      </w:r>
    </w:p>
    <w:p w14:paraId="0EB08732">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84" w:name="_Toc14893"/>
      <w:bookmarkStart w:id="85" w:name="_Toc19148"/>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6.3　收获与澄清</w:t>
      </w:r>
      <w:bookmarkEnd w:id="84"/>
      <w:bookmarkEnd w:id="85"/>
    </w:p>
    <w:p w14:paraId="2A1A25EB">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将重组胶原蛋白从宿主细胞中最大程度释放，并去除细胞碎片和大颗粒杂质，获得可用于后续层析上样的澄清液体。此步骤的收率与澄清度直接影响下游纯化效率。</w:t>
      </w:r>
    </w:p>
    <w:p w14:paraId="696195AA">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6.3.1　细胞收获与破碎</w:t>
      </w:r>
    </w:p>
    <w:p w14:paraId="042DC3A2">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bidi="ar"/>
        </w:rPr>
      </w:pPr>
      <w:r>
        <w:rPr>
          <w:rFonts w:hint="eastAsia"/>
          <w:lang w:bidi="ar"/>
        </w:rPr>
        <w:t>细胞收获与破碎</w:t>
      </w:r>
      <w:r>
        <w:rPr>
          <w:rFonts w:hint="eastAsia"/>
          <w:lang w:eastAsia="zh-CN" w:bidi="ar"/>
        </w:rPr>
        <w:t>应按照以下情况进行。</w:t>
      </w:r>
    </w:p>
    <w:p w14:paraId="0B514F6D">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a）胞外表达：胶原蛋白分泌至培养基，应通过离心或深层过滤去除宿主细胞，收集含有目标蛋白的上清液。</w:t>
      </w:r>
    </w:p>
    <w:p w14:paraId="0AE703EB">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b）胞内表达（可溶性）：胶原蛋白以可溶形式存在于细胞质，需采用高压匀浆、超声破碎或酶解法等有效方法破碎细胞。方法选择与参数设定应经过验证，以确保蛋白释放率并避免过度降解。</w:t>
      </w:r>
    </w:p>
    <w:p w14:paraId="4824F38F">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c）胞内表达（包涵体）：对于大肠杆菌等原核系统常形成的包涵体表达，需先离心收获菌体。细胞破碎后，通过差速离心机使用含尿素等去污剂的缓冲液进行洗涤，以获得相对较纯的包涵体。后续需进行变性与复性操作。</w:t>
      </w:r>
    </w:p>
    <w:p w14:paraId="4119A060">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6.3.2　澄清</w:t>
      </w:r>
    </w:p>
    <w:p w14:paraId="6F8DBA6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应使用深层过滤、离心或切向流过滤技术，彻底去除细胞裂解液中的细胞碎片、核酸、脂质等不溶性杂质，获得澄清的粗提液。</w:t>
      </w:r>
    </w:p>
    <w:p w14:paraId="4678F94C">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86" w:name="_Toc22407"/>
      <w:bookmarkStart w:id="87" w:name="_Toc17662"/>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6.4　初级纯化（捕获）</w:t>
      </w:r>
      <w:bookmarkEnd w:id="86"/>
      <w:bookmarkEnd w:id="87"/>
    </w:p>
    <w:p w14:paraId="3DC22A20">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快速浓缩目标蛋白，去除大部分宿主细胞蛋白、核酸、内毒素等杂质，实现样品体积的减小和纯度的显著提升。</w:t>
      </w:r>
    </w:p>
    <w:p w14:paraId="3A23E5D0">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6.4.1　亲和层析</w:t>
      </w:r>
    </w:p>
    <w:p w14:paraId="75C59EF7">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利用重组胶原蛋白工程化设计的亲和标签（组氨酸标签-His-Tag）与层析介质上的固定化金属离子之间的特异性结合进行捕获。洗脱后获得目标蛋白。</w:t>
      </w:r>
    </w:p>
    <w:p w14:paraId="0CF70460">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6.4.2　离子交换层析</w:t>
      </w:r>
    </w:p>
    <w:p w14:paraId="37D89EBB">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作为替代或补充方案，利用胶原蛋白与杂质在特定pH缓冲条件下所带电荷的差异进行分离。</w:t>
      </w:r>
    </w:p>
    <w:p w14:paraId="63D2C371">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88" w:name="_Toc29922"/>
      <w:bookmarkStart w:id="89" w:name="_Toc21146"/>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6.5　精纯（精制）</w:t>
      </w:r>
      <w:bookmarkEnd w:id="88"/>
      <w:bookmarkEnd w:id="89"/>
    </w:p>
    <w:p w14:paraId="7EE4EE22">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去除与目标蛋白理化性质相近的微量杂质，</w:t>
      </w:r>
      <w:r>
        <w:rPr>
          <w:rFonts w:hint="eastAsia"/>
          <w:lang w:eastAsia="zh-CN" w:bidi="ar"/>
        </w:rPr>
        <w:t>包括</w:t>
      </w:r>
      <w:r>
        <w:rPr>
          <w:rFonts w:hint="eastAsia"/>
          <w:lang w:bidi="ar"/>
        </w:rPr>
        <w:t>聚集体、降解片段、错配变体、残留宿主蛋白等，确保最终产品的高纯度、正确的空间结构和均一性。</w:t>
      </w:r>
    </w:p>
    <w:p w14:paraId="1DCDE5E4">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6.5.1　疏水层析</w:t>
      </w:r>
    </w:p>
    <w:p w14:paraId="6A2CE9B7">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利用胶原蛋白疏水性较强的特性，在高盐浓度下与疏水层析介质结合，通过降低盐浓度进行梯度洗脱。此方法可有效分离因疏水性差异而共纯化的杂质和蛋白聚集体。</w:t>
      </w:r>
    </w:p>
    <w:p w14:paraId="1546831E">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6.5.2　分子排阻层析</w:t>
      </w:r>
    </w:p>
    <w:p w14:paraId="1ED47AC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根据蛋白质分子在溶液中的流体动力学体积（大小和形状）进行分离，是关键的抛光步骤。能有效去除产品中的二聚体、多聚体以及小分子杂质，同时将蛋白溶液置换至最终制剂缓冲液中。</w:t>
      </w:r>
    </w:p>
    <w:p w14:paraId="106D7E4D">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90" w:name="_Toc27723"/>
      <w:bookmarkStart w:id="91" w:name="_Toc5283"/>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6.6　成品处理</w:t>
      </w:r>
      <w:bookmarkEnd w:id="90"/>
      <w:bookmarkEnd w:id="91"/>
    </w:p>
    <w:p w14:paraId="61389871">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获得符合预定规格的稳定终产品，并完成全面的质量检验与放行。</w:t>
      </w:r>
      <w:r>
        <w:rPr>
          <w:rFonts w:hint="eastAsia"/>
          <w:lang w:val="en-US" w:eastAsia="zh-CN" w:bidi="ar"/>
        </w:rPr>
        <w:t>成品处理应满足以下要求。</w:t>
      </w:r>
    </w:p>
    <w:p w14:paraId="5A031023">
      <w:pPr>
        <w:pStyle w:val="57"/>
        <w:ind w:left="711" w:leftChars="200" w:hanging="291" w:hangingChars="139"/>
        <w:rPr>
          <w:rFonts w:hint="eastAsia" w:eastAsia="宋体"/>
          <w:lang w:eastAsia="zh-CN"/>
        </w:rPr>
      </w:pPr>
      <w:r>
        <w:rPr>
          <w:rFonts w:hint="eastAsia"/>
          <w:lang w:val="en-US" w:eastAsia="zh-CN"/>
        </w:rPr>
        <w:t>a</w:t>
      </w:r>
      <w:r>
        <w:rPr>
          <w:rFonts w:hint="eastAsia"/>
          <w:lang w:eastAsia="zh-CN"/>
        </w:rPr>
        <w:t>）</w:t>
      </w:r>
      <w:r>
        <w:rPr>
          <w:rFonts w:hint="eastAsia"/>
        </w:rPr>
        <w:t>浓缩与缓冲液置换：应使用切向流过滤系统对精纯后的蛋白溶液进行浓缩至目标浓度，并通过渗滤将缓冲液置换至最终稳定的制剂缓冲液（PBS）中。系统截留分子量需根据目标蛋白分子量合理选择</w:t>
      </w:r>
      <w:r>
        <w:rPr>
          <w:rFonts w:hint="eastAsia"/>
          <w:lang w:eastAsia="zh-CN"/>
        </w:rPr>
        <w:t>。</w:t>
      </w:r>
    </w:p>
    <w:p w14:paraId="6514CABB">
      <w:pPr>
        <w:pStyle w:val="57"/>
        <w:ind w:left="711" w:leftChars="200" w:hanging="291" w:hangingChars="139"/>
        <w:rPr>
          <w:rFonts w:hint="eastAsia"/>
        </w:rPr>
      </w:pPr>
      <w:r>
        <w:rPr>
          <w:rFonts w:hint="eastAsia"/>
          <w:lang w:val="en-US" w:eastAsia="zh-CN"/>
        </w:rPr>
        <w:t>b</w:t>
      </w:r>
      <w:r>
        <w:rPr>
          <w:rFonts w:hint="eastAsia"/>
          <w:lang w:eastAsia="zh-CN"/>
        </w:rPr>
        <w:t>）</w:t>
      </w:r>
      <w:r>
        <w:rPr>
          <w:rFonts w:hint="eastAsia"/>
        </w:rPr>
        <w:t>除菌过滤与灌装：必须使用0.22μm或更小孔径的除菌级滤膜进行过滤。所有操作应在符合GMP要求的C级及以上洁净环境下进行。根据制剂处方与稳定性研究数据，决定以液体形式保存或进行冷冻干燥制成冻干粉。</w:t>
      </w:r>
    </w:p>
    <w:p w14:paraId="70919B1A">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92" w:name="_Toc18585"/>
      <w:bookmarkStart w:id="93" w:name="_Toc5704"/>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6.7　质量检验与放行</w:t>
      </w:r>
      <w:bookmarkEnd w:id="92"/>
      <w:bookmarkEnd w:id="93"/>
    </w:p>
    <w:p w14:paraId="2B14A3B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纯化工艺完成后，应对获得的重组胶原蛋白进行系统性的质量检验，并建立明确的放行标准，以确保其符合预定的质量属性及安全性要求。</w:t>
      </w:r>
    </w:p>
    <w:p w14:paraId="26D5BF87">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6.7.1</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eastAsia" w:ascii="黑体" w:hAnsi="黑体" w:eastAsia="黑体" w:cs="黑体"/>
          <w:lang w:val="en-US" w:eastAsia="zh-CN"/>
        </w:rPr>
        <w:t>检验项目与要求</w:t>
      </w:r>
    </w:p>
    <w:p w14:paraId="66E4BA3D">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成品应依据表1中规定的项目进行检验，各项指标的检验方法应符合表2的规定。</w:t>
      </w:r>
    </w:p>
    <w:p w14:paraId="27F923D1">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6.7.2</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eastAsia" w:ascii="黑体" w:hAnsi="黑体" w:eastAsia="黑体" w:cs="黑体"/>
          <w:lang w:val="en-US" w:eastAsia="zh-CN"/>
        </w:rPr>
        <w:t>放行标准</w:t>
      </w:r>
    </w:p>
    <w:p w14:paraId="4C7A00F7">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每批产品必须全部符合表1所规定的技术要求，方可放行。若任何一项检验结果超出可接受范围，则该批产品不得放行，并应启动偏差调查程序，查明原因并采取纠正措施。</w:t>
      </w:r>
    </w:p>
    <w:p w14:paraId="45FF7651">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6.7.3</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eastAsia" w:ascii="黑体" w:hAnsi="黑体" w:eastAsia="黑体" w:cs="黑体"/>
          <w:lang w:val="en-US" w:eastAsia="zh-CN"/>
        </w:rPr>
        <w:t>记录与报告</w:t>
      </w:r>
    </w:p>
    <w:p w14:paraId="186E4248">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所有检验过程应有详细、真实记录，并最终形成批检验报告。报告应清晰列明检验项目、标准要求、检验结果、检验方法、检验日期及检验人员等信息。相关记录应至少保存至产品有效期后</w:t>
      </w:r>
      <w:r>
        <w:rPr>
          <w:rFonts w:hint="eastAsia"/>
          <w:lang w:eastAsia="zh-CN" w:bidi="ar"/>
        </w:rPr>
        <w:t>三</w:t>
      </w:r>
      <w:r>
        <w:rPr>
          <w:rFonts w:hint="eastAsia"/>
          <w:lang w:bidi="ar"/>
        </w:rPr>
        <w:t>年。</w:t>
      </w:r>
    </w:p>
    <w:p w14:paraId="6907DA0C">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6.7.4</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w:t>
      </w:r>
      <w:r>
        <w:rPr>
          <w:rFonts w:hint="eastAsia" w:ascii="黑体" w:hAnsi="黑体" w:eastAsia="黑体" w:cs="黑体"/>
          <w:lang w:val="en-US" w:eastAsia="zh-CN"/>
        </w:rPr>
        <w:t>责任与授权</w:t>
      </w:r>
    </w:p>
    <w:p w14:paraId="7FC645B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bidi="ar"/>
        </w:rPr>
      </w:pPr>
      <w:r>
        <w:rPr>
          <w:rFonts w:hint="eastAsia"/>
          <w:lang w:bidi="ar"/>
        </w:rPr>
        <w:t>质量检验工作应由独立的质量管理部门负责执行。产品的最终放行应由质量</w:t>
      </w:r>
      <w:r>
        <w:rPr>
          <w:rFonts w:hint="eastAsia"/>
          <w:lang w:eastAsia="zh-CN" w:bidi="ar"/>
        </w:rPr>
        <w:t>负责</w:t>
      </w:r>
      <w:r>
        <w:rPr>
          <w:rFonts w:hint="eastAsia"/>
          <w:lang w:bidi="ar"/>
        </w:rPr>
        <w:t>人或其授权人，在审核确认整批产品生产、检验记录及相关文件符合所有既定规程和标准后，签字批准。</w:t>
      </w:r>
    </w:p>
    <w:p w14:paraId="0BC07C05">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94" w:name="_Toc27294"/>
      <w:bookmarkStart w:id="95" w:name="_Toc6466"/>
      <w:r>
        <w:rPr>
          <w:rFonts w:hint="eastAsia" w:ascii="黑体" w:hAnsi="Times New Roman" w:eastAsia="黑体" w:cs="Times New Roman"/>
          <w:b w:val="0"/>
          <w:i w:val="0"/>
          <w:color w:val="auto"/>
          <w:sz w:val="21"/>
          <w:lang w:val="en-US" w:eastAsia="zh-CN" w:bidi="ar-SA"/>
        </w:rPr>
        <w:t>7　试验方法</w:t>
      </w:r>
      <w:bookmarkEnd w:id="94"/>
      <w:bookmarkEnd w:id="95"/>
    </w:p>
    <w:p w14:paraId="4A3EE56C">
      <w:pPr>
        <w:pStyle w:val="57"/>
        <w:ind w:firstLine="420"/>
        <w:rPr>
          <w:rFonts w:hint="eastAsia"/>
          <w:lang w:bidi="ar"/>
        </w:rPr>
      </w:pPr>
      <w:r>
        <w:rPr>
          <w:rFonts w:hint="eastAsia"/>
          <w:lang w:bidi="ar"/>
        </w:rPr>
        <w:t>纯化</w:t>
      </w:r>
      <w:r>
        <w:rPr>
          <w:rFonts w:hint="eastAsia"/>
          <w:lang w:eastAsia="zh-CN" w:bidi="ar"/>
        </w:rPr>
        <w:t>后</w:t>
      </w:r>
      <w:r>
        <w:rPr>
          <w:rFonts w:hint="eastAsia"/>
          <w:lang w:bidi="ar"/>
        </w:rPr>
        <w:t>重组胶原蛋白的技术</w:t>
      </w:r>
      <w:r>
        <w:rPr>
          <w:rFonts w:hint="eastAsia"/>
          <w:lang w:eastAsia="zh-CN" w:bidi="ar"/>
        </w:rPr>
        <w:t>要求试验方法</w:t>
      </w:r>
      <w:r>
        <w:rPr>
          <w:rFonts w:hint="eastAsia"/>
          <w:lang w:bidi="ar"/>
        </w:rPr>
        <w:t>应</w:t>
      </w:r>
      <w:r>
        <w:rPr>
          <w:rFonts w:hint="eastAsia"/>
          <w:lang w:eastAsia="zh-CN" w:bidi="ar"/>
        </w:rPr>
        <w:t>按照</w:t>
      </w:r>
      <w:r>
        <w:rPr>
          <w:rFonts w:hint="eastAsia"/>
          <w:lang w:bidi="ar"/>
        </w:rPr>
        <w:t>表</w:t>
      </w:r>
      <w:r>
        <w:rPr>
          <w:rFonts w:hint="eastAsia"/>
          <w:lang w:val="en-US" w:eastAsia="zh-CN" w:bidi="ar"/>
        </w:rPr>
        <w:t>2</w:t>
      </w:r>
      <w:r>
        <w:rPr>
          <w:rFonts w:hint="eastAsia"/>
          <w:lang w:bidi="ar"/>
        </w:rPr>
        <w:t>的</w:t>
      </w:r>
      <w:r>
        <w:rPr>
          <w:rFonts w:hint="eastAsia"/>
          <w:lang w:eastAsia="zh-CN" w:bidi="ar"/>
        </w:rPr>
        <w:t>规定</w:t>
      </w:r>
      <w:r>
        <w:rPr>
          <w:rFonts w:hint="eastAsia"/>
          <w:lang w:bidi="ar"/>
        </w:rPr>
        <w:t>。</w:t>
      </w:r>
    </w:p>
    <w:p w14:paraId="008C349E">
      <w:pPr>
        <w:pStyle w:val="57"/>
        <w:keepNext w:val="0"/>
        <w:keepLines w:val="0"/>
        <w:pageBreakBefore w:val="0"/>
        <w:widowControl/>
        <w:kinsoku/>
        <w:wordWrap/>
        <w:overflowPunct/>
        <w:topLinePunct w:val="0"/>
        <w:autoSpaceDE w:val="0"/>
        <w:autoSpaceDN w:val="0"/>
        <w:bidi w:val="0"/>
        <w:adjustRightInd/>
        <w:snapToGrid/>
        <w:spacing w:before="157" w:beforeLines="50" w:after="157" w:afterLines="50" w:line="240" w:lineRule="auto"/>
        <w:ind w:firstLine="0" w:firstLineChars="0"/>
        <w:jc w:val="center"/>
        <w:textAlignment w:val="auto"/>
        <w:rPr>
          <w:rFonts w:hint="eastAsia" w:eastAsia="宋体"/>
          <w:b/>
          <w:bCs/>
          <w:lang w:eastAsia="zh-CN"/>
        </w:rPr>
      </w:pPr>
      <w:r>
        <w:rPr>
          <w:rFonts w:hint="eastAsia"/>
          <w:b/>
          <w:bCs/>
        </w:rPr>
        <w:t>表</w:t>
      </w:r>
      <w:r>
        <w:rPr>
          <w:rFonts w:hint="eastAsia"/>
          <w:b/>
          <w:bCs/>
          <w:lang w:val="en-US" w:eastAsia="zh-CN"/>
        </w:rPr>
        <w:t>2</w:t>
      </w:r>
      <w:r>
        <w:rPr>
          <w:rFonts w:hint="eastAsia"/>
          <w:b/>
          <w:bCs/>
        </w:rPr>
        <w:t xml:space="preserve"> </w:t>
      </w:r>
      <w:r>
        <w:rPr>
          <w:rFonts w:hint="eastAsia"/>
          <w:b/>
          <w:bCs/>
          <w:lang w:eastAsia="zh-CN"/>
        </w:rPr>
        <w:t>纯化后重组胶原蛋白技术要求试验方法</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7218"/>
        <w:gridCol w:w="1023"/>
      </w:tblGrid>
      <w:tr w14:paraId="13C3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2DF41DBE">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default" w:cs="Times New Roman"/>
                <w:b w:val="0"/>
                <w:bCs w:val="0"/>
                <w:i w:val="0"/>
                <w:iCs w:val="0"/>
                <w:caps w:val="0"/>
                <w:color w:val="auto"/>
                <w:spacing w:val="0"/>
                <w:kern w:val="0"/>
                <w:sz w:val="18"/>
                <w:szCs w:val="16"/>
                <w:lang w:val="en-US" w:eastAsia="zh-CN" w:bidi="ar"/>
              </w:rPr>
            </w:pPr>
            <w:r>
              <w:rPr>
                <w:rFonts w:hint="eastAsia" w:hAnsi="宋体" w:cs="宋体"/>
                <w:b w:val="0"/>
                <w:bCs w:val="0"/>
                <w:i w:val="0"/>
                <w:iCs w:val="0"/>
                <w:caps w:val="0"/>
                <w:color w:val="auto"/>
                <w:spacing w:val="0"/>
                <w:kern w:val="0"/>
                <w:sz w:val="18"/>
                <w:szCs w:val="18"/>
                <w:lang w:val="en-US" w:eastAsia="zh-CN" w:bidi="ar"/>
              </w:rPr>
              <w:t>检测项目</w:t>
            </w:r>
          </w:p>
        </w:tc>
        <w:tc>
          <w:tcPr>
            <w:tcW w:w="7218" w:type="dxa"/>
            <w:vAlign w:val="center"/>
          </w:tcPr>
          <w:p w14:paraId="4E9DC831">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试验方法</w:t>
            </w:r>
          </w:p>
        </w:tc>
        <w:tc>
          <w:tcPr>
            <w:tcW w:w="1023" w:type="dxa"/>
            <w:vAlign w:val="center"/>
          </w:tcPr>
          <w:p w14:paraId="38B0DEE3">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执行标准</w:t>
            </w:r>
          </w:p>
        </w:tc>
      </w:tr>
      <w:tr w14:paraId="3A58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479BD008">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蛋白质纯度</w:t>
            </w:r>
          </w:p>
        </w:tc>
        <w:tc>
          <w:tcPr>
            <w:tcW w:w="7218" w:type="dxa"/>
            <w:vAlign w:val="center"/>
          </w:tcPr>
          <w:p w14:paraId="41C5F67B">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SEC-HPLC法：采用凝胶色谱柱，流动相为0.1 mol/L磷酸二氢钾-磷酸氢二钾缓冲液，流速1.0 mL/min，检测波长280 nm，计算主峰面积占总峰面积的百分比；</w:t>
            </w:r>
          </w:p>
          <w:p w14:paraId="1BAFCCFC">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SDS-PAGE银染法：配制12%～15%分离胶，样品经变性处理后上样，电泳结束后按银染试剂盒说明书操作，观察杂带情况</w:t>
            </w:r>
          </w:p>
        </w:tc>
        <w:tc>
          <w:tcPr>
            <w:tcW w:w="1023" w:type="dxa"/>
            <w:vAlign w:val="center"/>
          </w:tcPr>
          <w:p w14:paraId="643E4532">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default"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644F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9774E06">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分子量分布</w:t>
            </w:r>
          </w:p>
        </w:tc>
        <w:tc>
          <w:tcPr>
            <w:tcW w:w="7218" w:type="dxa"/>
            <w:vAlign w:val="center"/>
          </w:tcPr>
          <w:p w14:paraId="25A0D60D">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采用高效液相色谱法，同纯度检测的色谱柱与流动相条件，用已知分子量的标准蛋白绘制标准曲线，通过色谱工作站计算目标蛋白的Mw、Mn及Mw/Mn比值</w:t>
            </w:r>
          </w:p>
        </w:tc>
        <w:tc>
          <w:tcPr>
            <w:tcW w:w="1023" w:type="dxa"/>
            <w:vAlign w:val="center"/>
          </w:tcPr>
          <w:p w14:paraId="2694B4A8">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4268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4D4A3ABB">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宿主细胞蛋白残留（HCP）</w:t>
            </w:r>
          </w:p>
        </w:tc>
        <w:tc>
          <w:tcPr>
            <w:tcW w:w="7218" w:type="dxa"/>
            <w:vAlign w:val="center"/>
          </w:tcPr>
          <w:p w14:paraId="4B32D8AB">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采用ELISA法，使用针对特定宿主细胞的酶联免疫试剂盒，按试剂盒说明书处理样品，测定450 nm波长下吸光度值，通过标准曲线计算HCP含量</w:t>
            </w:r>
          </w:p>
        </w:tc>
        <w:tc>
          <w:tcPr>
            <w:tcW w:w="1023" w:type="dxa"/>
            <w:vAlign w:val="center"/>
          </w:tcPr>
          <w:p w14:paraId="0BF1C6A0">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34FC9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3463DE0">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宿主细胞DNA残留</w:t>
            </w:r>
          </w:p>
        </w:tc>
        <w:tc>
          <w:tcPr>
            <w:tcW w:w="7218" w:type="dxa"/>
            <w:vAlign w:val="center"/>
          </w:tcPr>
          <w:p w14:paraId="77AE4883">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采用实时荧光定量PCR法（qPCR），</w:t>
            </w:r>
          </w:p>
          <w:p w14:paraId="08E29C44">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取适量样品，用蛋白酶K消化后，通过商业化DNA提取试剂盒提取残留DNA；</w:t>
            </w:r>
          </w:p>
          <w:p w14:paraId="7DE373AF">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设计宿主细胞特异性引物与荧光探针，构建DNA标准品梯度；</w:t>
            </w:r>
          </w:p>
          <w:p w14:paraId="5ADB57C4">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0" w:leftChars="0" w:firstLine="0" w:firstLineChars="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c）</w:t>
            </w:r>
            <w:r>
              <w:rPr>
                <w:rFonts w:hint="eastAsia" w:ascii="宋体" w:hAnsi="宋体" w:eastAsia="宋体" w:cs="宋体"/>
                <w:b w:val="0"/>
                <w:bCs w:val="0"/>
                <w:i w:val="0"/>
                <w:iCs w:val="0"/>
                <w:caps w:val="0"/>
                <w:color w:val="auto"/>
                <w:spacing w:val="0"/>
                <w:kern w:val="0"/>
                <w:sz w:val="18"/>
                <w:szCs w:val="18"/>
                <w:lang w:val="en-US" w:eastAsia="zh-CN" w:bidi="ar"/>
              </w:rPr>
              <w:t>在荧光定量PCR仪上进行扩增反应，根据Ct值计算样品中DNA残留量</w:t>
            </w:r>
          </w:p>
        </w:tc>
        <w:tc>
          <w:tcPr>
            <w:tcW w:w="1023" w:type="dxa"/>
            <w:vAlign w:val="center"/>
          </w:tcPr>
          <w:p w14:paraId="2D54314F">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default"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19C0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A074C57">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内毒素含量</w:t>
            </w:r>
          </w:p>
        </w:tc>
        <w:tc>
          <w:tcPr>
            <w:tcW w:w="7218" w:type="dxa"/>
            <w:vAlign w:val="center"/>
          </w:tcPr>
          <w:p w14:paraId="3BF62B23">
            <w:pPr>
              <w:pStyle w:val="57"/>
              <w:keepNext w:val="0"/>
              <w:keepLines w:val="0"/>
              <w:pageBreakBefore w:val="0"/>
              <w:widowControl/>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凝胶法：取0.1 mL样品与0.1 mL鲎试剂混合，37℃±1℃孵育60 min±2 min，轻轻倒置试管，观察是否形成稳定凝胶；</w:t>
            </w:r>
          </w:p>
          <w:p w14:paraId="0D58E7FC">
            <w:pPr>
              <w:pStyle w:val="57"/>
              <w:keepNext w:val="0"/>
              <w:keepLines w:val="0"/>
              <w:pageBreakBefore w:val="0"/>
              <w:widowControl/>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动态浊度法：将样品与鲎试剂按比例混合，在浊度仪上监测37℃下反应体系的浊度变化，根据标准曲线计算内毒素浓度</w:t>
            </w:r>
          </w:p>
        </w:tc>
        <w:tc>
          <w:tcPr>
            <w:tcW w:w="1023" w:type="dxa"/>
            <w:vAlign w:val="center"/>
          </w:tcPr>
          <w:p w14:paraId="29DF6856">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6A9D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49629BD">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pH值</w:t>
            </w:r>
          </w:p>
        </w:tc>
        <w:tc>
          <w:tcPr>
            <w:tcW w:w="7218" w:type="dxa"/>
            <w:vAlign w:val="center"/>
          </w:tcPr>
          <w:p w14:paraId="2C744465">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采用精密pH计法，取（10±2） mL样品，置于（25±2）℃恒温水浴中平衡30 min，用已校准的精密pH计（精度0.01 pH单位）直接测定，平行测定3次，取平均值</w:t>
            </w:r>
          </w:p>
        </w:tc>
        <w:tc>
          <w:tcPr>
            <w:tcW w:w="1023" w:type="dxa"/>
            <w:vAlign w:val="center"/>
          </w:tcPr>
          <w:p w14:paraId="33E73733">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033BC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0298CD43">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等电点（pI）</w:t>
            </w:r>
          </w:p>
        </w:tc>
        <w:tc>
          <w:tcPr>
            <w:tcW w:w="7218" w:type="dxa"/>
            <w:vAlign w:val="center"/>
          </w:tcPr>
          <w:p w14:paraId="71A2E5B6">
            <w:pPr>
              <w:pStyle w:val="57"/>
              <w:keepNext w:val="0"/>
              <w:keepLines w:val="0"/>
              <w:pageBreakBefore w:val="0"/>
              <w:widowControl/>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等电聚焦电泳法：</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1）</w:t>
            </w:r>
            <w:r>
              <w:rPr>
                <w:rFonts w:hint="eastAsia" w:ascii="宋体" w:hAnsi="宋体" w:eastAsia="宋体" w:cs="宋体"/>
                <w:b w:val="0"/>
                <w:bCs w:val="0"/>
                <w:i w:val="0"/>
                <w:iCs w:val="0"/>
                <w:caps w:val="0"/>
                <w:color w:val="auto"/>
                <w:spacing w:val="0"/>
                <w:kern w:val="0"/>
                <w:sz w:val="18"/>
                <w:szCs w:val="18"/>
                <w:lang w:val="en-US" w:eastAsia="zh-CN" w:bidi="ar"/>
              </w:rPr>
              <w:t>配制pH梯度为3.0～10.0或4.0～6.5（根据目标pI调整）的聚丙烯酰胺凝胶，加入载体两性电解质；</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2）</w:t>
            </w:r>
            <w:r>
              <w:rPr>
                <w:rFonts w:hint="eastAsia" w:ascii="宋体" w:hAnsi="宋体" w:eastAsia="宋体" w:cs="宋体"/>
                <w:b w:val="0"/>
                <w:bCs w:val="0"/>
                <w:i w:val="0"/>
                <w:iCs w:val="0"/>
                <w:caps w:val="0"/>
                <w:color w:val="auto"/>
                <w:spacing w:val="0"/>
                <w:kern w:val="0"/>
                <w:sz w:val="18"/>
                <w:szCs w:val="18"/>
                <w:lang w:val="en-US" w:eastAsia="zh-CN" w:bidi="ar"/>
              </w:rPr>
              <w:t>样品用去离子水稀释至浓度1 mg/mL～2 mg/mL，与上样缓冲液（含溴酚蓝）混合后上样；</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3）</w:t>
            </w:r>
            <w:r>
              <w:rPr>
                <w:rFonts w:hint="eastAsia" w:ascii="宋体" w:hAnsi="宋体" w:eastAsia="宋体" w:cs="宋体"/>
                <w:b w:val="0"/>
                <w:bCs w:val="0"/>
                <w:i w:val="0"/>
                <w:iCs w:val="0"/>
                <w:caps w:val="0"/>
                <w:color w:val="auto"/>
                <w:spacing w:val="0"/>
                <w:kern w:val="0"/>
                <w:sz w:val="18"/>
                <w:szCs w:val="18"/>
                <w:lang w:val="en-US" w:eastAsia="zh-CN" w:bidi="ar"/>
              </w:rPr>
              <w:t>电泳条件：初始电压200 V，稳定后升至500 V，电泳时间1.5 h～2 h；</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4）</w:t>
            </w:r>
            <w:r>
              <w:rPr>
                <w:rFonts w:hint="eastAsia" w:ascii="宋体" w:hAnsi="宋体" w:eastAsia="宋体" w:cs="宋体"/>
                <w:b w:val="0"/>
                <w:bCs w:val="0"/>
                <w:i w:val="0"/>
                <w:iCs w:val="0"/>
                <w:caps w:val="0"/>
                <w:color w:val="auto"/>
                <w:spacing w:val="0"/>
                <w:kern w:val="0"/>
                <w:sz w:val="18"/>
                <w:szCs w:val="18"/>
                <w:lang w:val="en-US" w:eastAsia="zh-CN" w:bidi="ar"/>
              </w:rPr>
              <w:t>电泳结束后，用考马斯亮蓝R-250染色，脱色后与已知pI的标准蛋白比对，确定样品pI值</w:t>
            </w:r>
          </w:p>
          <w:p w14:paraId="4133E568">
            <w:pPr>
              <w:pStyle w:val="57"/>
              <w:keepNext w:val="0"/>
              <w:keepLines w:val="0"/>
              <w:pageBreakBefore w:val="0"/>
              <w:widowControl/>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毛细管电泳法：</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1）</w:t>
            </w:r>
            <w:r>
              <w:rPr>
                <w:rFonts w:hint="eastAsia" w:ascii="宋体" w:hAnsi="宋体" w:eastAsia="宋体" w:cs="宋体"/>
                <w:b w:val="0"/>
                <w:bCs w:val="0"/>
                <w:i w:val="0"/>
                <w:iCs w:val="0"/>
                <w:caps w:val="0"/>
                <w:color w:val="auto"/>
                <w:spacing w:val="0"/>
                <w:kern w:val="0"/>
                <w:sz w:val="18"/>
                <w:szCs w:val="18"/>
                <w:lang w:val="en-US" w:eastAsia="zh-CN" w:bidi="ar"/>
              </w:rPr>
              <w:t>样品与两性电解质、助溶剂混合，注入毛细管；</w:t>
            </w:r>
            <w:r>
              <w:rPr>
                <w:rFonts w:hint="eastAsia" w:ascii="宋体" w:hAnsi="宋体" w:eastAsia="宋体" w:cs="宋体"/>
                <w:b w:val="0"/>
                <w:bCs w:val="0"/>
                <w:i w:val="0"/>
                <w:iCs w:val="0"/>
                <w:caps w:val="0"/>
                <w:color w:val="auto"/>
                <w:spacing w:val="0"/>
                <w:kern w:val="0"/>
                <w:sz w:val="18"/>
                <w:szCs w:val="18"/>
                <w:lang w:val="en-US" w:eastAsia="zh-CN" w:bidi="ar"/>
              </w:rPr>
              <w:br w:type="textWrapping"/>
            </w:r>
            <w:r>
              <w:rPr>
                <w:rFonts w:hint="eastAsia" w:ascii="宋体" w:hAnsi="宋体" w:eastAsia="宋体" w:cs="宋体"/>
                <w:sz w:val="18"/>
                <w:szCs w:val="18"/>
                <w:lang w:val="en-US" w:eastAsia="zh-CN"/>
              </w:rPr>
              <w:t>2）</w:t>
            </w:r>
            <w:r>
              <w:rPr>
                <w:rFonts w:hint="eastAsia" w:ascii="宋体" w:hAnsi="宋体" w:eastAsia="宋体" w:cs="宋体"/>
                <w:b w:val="0"/>
                <w:bCs w:val="0"/>
                <w:i w:val="0"/>
                <w:iCs w:val="0"/>
                <w:caps w:val="0"/>
                <w:color w:val="auto"/>
                <w:spacing w:val="0"/>
                <w:kern w:val="0"/>
                <w:sz w:val="18"/>
                <w:szCs w:val="18"/>
                <w:lang w:val="en-US" w:eastAsia="zh-CN" w:bidi="ar"/>
              </w:rPr>
              <w:t>设定电压梯度，聚焦完成后通过紫外检测（280 nm）或荧光检测，根据标准蛋白pI曲线计算样品pI</w:t>
            </w:r>
          </w:p>
        </w:tc>
        <w:tc>
          <w:tcPr>
            <w:tcW w:w="1023" w:type="dxa"/>
            <w:vAlign w:val="center"/>
          </w:tcPr>
          <w:p w14:paraId="5A44C769">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default"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03F9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2BABBB97">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hAnsi="宋体" w:cs="宋体"/>
                <w:b w:val="0"/>
                <w:bCs w:val="0"/>
                <w:i w:val="0"/>
                <w:iCs w:val="0"/>
                <w:caps w:val="0"/>
                <w:color w:val="auto"/>
                <w:spacing w:val="0"/>
                <w:kern w:val="0"/>
                <w:sz w:val="18"/>
                <w:szCs w:val="18"/>
                <w:lang w:val="en-US" w:eastAsia="zh-CN" w:bidi="ar"/>
              </w:rPr>
              <w:t>微生物限量</w:t>
            </w:r>
          </w:p>
        </w:tc>
        <w:tc>
          <w:tcPr>
            <w:tcW w:w="7218" w:type="dxa"/>
            <w:vAlign w:val="center"/>
          </w:tcPr>
          <w:p w14:paraId="53420DE5">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非无菌产品：</w:t>
            </w:r>
          </w:p>
          <w:p w14:paraId="1571EEF7">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480" w:leftChars="100" w:hanging="270" w:hangingChars="15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1）需氧菌总数：取10 g（或10 mL）样品，按1:10稀释后，取1 mL涂布胰酪大豆胨琼脂培养基，30℃～35℃培养5天，计数菌落数；</w:t>
            </w:r>
          </w:p>
          <w:p w14:paraId="547641B4">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480" w:leftChars="100" w:hanging="270" w:hangingChars="15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2）霉菌和酵母菌总数：同稀释方法，取1 mL涂布沙氏葡萄糖琼脂培养基，20℃～25℃培养7天，计数菌落数；</w:t>
            </w:r>
          </w:p>
          <w:p w14:paraId="6CE6A803">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控制菌：取10 g（或10 mL）样品，接种至相应增菌培养基，培养后划线分离，通过生化反应鉴定；</w:t>
            </w:r>
          </w:p>
          <w:p w14:paraId="68112AF8">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c）</w:t>
            </w:r>
            <w:r>
              <w:rPr>
                <w:rFonts w:hint="eastAsia" w:ascii="宋体" w:hAnsi="宋体" w:eastAsia="宋体" w:cs="宋体"/>
                <w:b w:val="0"/>
                <w:bCs w:val="0"/>
                <w:i w:val="0"/>
                <w:iCs w:val="0"/>
                <w:caps w:val="0"/>
                <w:color w:val="auto"/>
                <w:spacing w:val="0"/>
                <w:kern w:val="0"/>
                <w:sz w:val="18"/>
                <w:szCs w:val="18"/>
                <w:lang w:val="en-US" w:eastAsia="zh-CN" w:bidi="ar"/>
              </w:rPr>
              <w:t>无菌产品：采用薄膜过滤法，滤膜分别接种需氧菌、厌氧菌培养基，30℃～35℃（需氧）、20℃～25℃（厌氧）培养14天，观察是否有菌生长</w:t>
            </w:r>
          </w:p>
        </w:tc>
        <w:tc>
          <w:tcPr>
            <w:tcW w:w="1023" w:type="dxa"/>
            <w:vAlign w:val="center"/>
          </w:tcPr>
          <w:p w14:paraId="1E2BF992">
            <w:pPr>
              <w:pStyle w:val="57"/>
              <w:keepNext w:val="0"/>
              <w:keepLines w:val="0"/>
              <w:pageBreakBefore w:val="0"/>
              <w:widowControl/>
              <w:kinsoku/>
              <w:wordWrap/>
              <w:overflowPunct/>
              <w:topLinePunct w:val="0"/>
              <w:autoSpaceDE w:val="0"/>
              <w:autoSpaceDN w:val="0"/>
              <w:bidi w:val="0"/>
              <w:adjustRightInd/>
              <w:snapToGrid/>
              <w:spacing w:line="240" w:lineRule="auto"/>
              <w:ind w:left="0" w:leftChars="0" w:firstLine="0" w:firstLineChars="0"/>
              <w:jc w:val="both"/>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1268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2C13B322">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回收率</w:t>
            </w:r>
          </w:p>
        </w:tc>
        <w:tc>
          <w:tcPr>
            <w:tcW w:w="7218" w:type="dxa"/>
            <w:vAlign w:val="center"/>
          </w:tcPr>
          <w:p w14:paraId="4F02E469">
            <w:pPr>
              <w:pStyle w:val="57"/>
              <w:keepNext w:val="0"/>
              <w:keepLines w:val="0"/>
              <w:pageBreakBefore w:val="0"/>
              <w:widowControl/>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起始物料目标蛋白总量：取发酵液/裂解液，用BCA法（或Lowry法）测定蛋白浓度（平行3次），乘以物料体积；</w:t>
            </w:r>
          </w:p>
          <w:p w14:paraId="06A1FB59">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终产品目标蛋白总量：取终产品（液体/复溶冻干粉），同法测定蛋白浓度，乘以终产品体积；</w:t>
            </w:r>
          </w:p>
          <w:p w14:paraId="2F40C588">
            <w:pPr>
              <w:pStyle w:val="57"/>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c）</w:t>
            </w:r>
            <w:r>
              <w:rPr>
                <w:rFonts w:hint="eastAsia" w:ascii="宋体" w:hAnsi="宋体" w:eastAsia="宋体" w:cs="宋体"/>
                <w:b w:val="0"/>
                <w:bCs w:val="0"/>
                <w:i w:val="0"/>
                <w:iCs w:val="0"/>
                <w:caps w:val="0"/>
                <w:color w:val="auto"/>
                <w:spacing w:val="0"/>
                <w:kern w:val="0"/>
                <w:sz w:val="18"/>
                <w:szCs w:val="18"/>
                <w:lang w:val="en-US" w:eastAsia="zh-CN" w:bidi="ar"/>
              </w:rPr>
              <w:t>回收率=（终产品目标蛋白总量/起始物料目标蛋白总量）×100%</w:t>
            </w:r>
          </w:p>
        </w:tc>
        <w:tc>
          <w:tcPr>
            <w:tcW w:w="1023" w:type="dxa"/>
            <w:vAlign w:val="center"/>
          </w:tcPr>
          <w:p w14:paraId="7D5BE6AA">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r w14:paraId="1261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9" w:type="dxa"/>
            <w:vAlign w:val="center"/>
          </w:tcPr>
          <w:p w14:paraId="55A262E9">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稳定性</w:t>
            </w:r>
          </w:p>
        </w:tc>
        <w:tc>
          <w:tcPr>
            <w:tcW w:w="7218" w:type="dxa"/>
            <w:vAlign w:val="center"/>
          </w:tcPr>
          <w:p w14:paraId="50A8D409">
            <w:pPr>
              <w:pStyle w:val="57"/>
              <w:keepNext w:val="0"/>
              <w:keepLines w:val="0"/>
              <w:pageBreakBefore w:val="0"/>
              <w:widowControl/>
              <w:kinsoku/>
              <w:wordWrap/>
              <w:overflowPunct/>
              <w:topLinePunct w:val="0"/>
              <w:autoSpaceDE w:val="0"/>
              <w:autoSpaceDN w:val="0"/>
              <w:bidi w:val="0"/>
              <w:adjustRightInd/>
              <w:snapToGrid/>
              <w:spacing w:line="240" w:lineRule="auto"/>
              <w:ind w:left="180" w:hanging="180" w:hangingChars="100"/>
              <w:jc w:val="left"/>
              <w:textAlignment w:val="auto"/>
              <w:rPr>
                <w:rFonts w:hint="eastAsia" w:ascii="宋体" w:hAnsi="宋体" w:eastAsia="宋体" w:cs="宋体"/>
                <w:b w:val="0"/>
                <w:bCs w:val="0"/>
                <w:i w:val="0"/>
                <w:iCs w:val="0"/>
                <w:caps w:val="0"/>
                <w:color w:val="auto"/>
                <w:spacing w:val="0"/>
                <w:kern w:val="0"/>
                <w:sz w:val="18"/>
                <w:szCs w:val="18"/>
                <w:lang w:val="en-US" w:eastAsia="zh-CN" w:bidi="ar"/>
              </w:rPr>
            </w:pPr>
            <w:r>
              <w:rPr>
                <w:rFonts w:hint="eastAsia" w:ascii="宋体" w:hAnsi="宋体" w:eastAsia="宋体" w:cs="宋体"/>
                <w:sz w:val="18"/>
                <w:szCs w:val="18"/>
                <w:lang w:val="en-US" w:eastAsia="zh-CN"/>
              </w:rPr>
              <w:t>a）</w:t>
            </w:r>
            <w:r>
              <w:rPr>
                <w:rFonts w:hint="eastAsia" w:ascii="宋体" w:hAnsi="宋体" w:eastAsia="宋体" w:cs="宋体"/>
                <w:b w:val="0"/>
                <w:bCs w:val="0"/>
                <w:i w:val="0"/>
                <w:iCs w:val="0"/>
                <w:caps w:val="0"/>
                <w:color w:val="auto"/>
                <w:spacing w:val="0"/>
                <w:kern w:val="0"/>
                <w:sz w:val="18"/>
                <w:szCs w:val="18"/>
                <w:lang w:val="en-US" w:eastAsia="zh-CN" w:bidi="ar"/>
              </w:rPr>
              <w:t>加速试验：取3批终产品，置于（40±2）℃、RH 75%±5%的稳定性试验箱中，分别在0、1、2、3、6月末取样，检测本标准表1中全部技术指标；</w:t>
            </w:r>
          </w:p>
          <w:p w14:paraId="3428C60B">
            <w:pPr>
              <w:pStyle w:val="57"/>
              <w:keepNext w:val="0"/>
              <w:keepLines w:val="0"/>
              <w:pageBreakBefore w:val="0"/>
              <w:widowControl/>
              <w:kinsoku/>
              <w:wordWrap/>
              <w:overflowPunct/>
              <w:topLinePunct w:val="0"/>
              <w:autoSpaceDE w:val="0"/>
              <w:autoSpaceDN w:val="0"/>
              <w:bidi w:val="0"/>
              <w:adjustRightInd/>
              <w:snapToGrid/>
              <w:spacing w:line="240" w:lineRule="auto"/>
              <w:ind w:left="180" w:leftChars="0" w:hanging="180" w:hangingChars="100"/>
              <w:jc w:val="left"/>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sz w:val="18"/>
                <w:szCs w:val="18"/>
                <w:lang w:val="en-US" w:eastAsia="zh-CN"/>
              </w:rPr>
              <w:t>b）</w:t>
            </w:r>
            <w:r>
              <w:rPr>
                <w:rFonts w:hint="eastAsia" w:ascii="宋体" w:hAnsi="宋体" w:eastAsia="宋体" w:cs="宋体"/>
                <w:b w:val="0"/>
                <w:bCs w:val="0"/>
                <w:i w:val="0"/>
                <w:iCs w:val="0"/>
                <w:caps w:val="0"/>
                <w:color w:val="auto"/>
                <w:spacing w:val="0"/>
                <w:kern w:val="0"/>
                <w:sz w:val="18"/>
                <w:szCs w:val="18"/>
                <w:lang w:val="en-US" w:eastAsia="zh-CN" w:bidi="ar"/>
              </w:rPr>
              <w:t>长期试验：取3批终产品，置于2℃～8℃冰箱中，分别在0、3、6、9、12月末取样，检测本标准表1中全部技术指标</w:t>
            </w:r>
          </w:p>
        </w:tc>
        <w:tc>
          <w:tcPr>
            <w:tcW w:w="1023" w:type="dxa"/>
            <w:vAlign w:val="center"/>
          </w:tcPr>
          <w:p w14:paraId="7473AA28">
            <w:pPr>
              <w:pStyle w:val="57"/>
              <w:keepNext w:val="0"/>
              <w:keepLines w:val="0"/>
              <w:pageBreakBefore w:val="0"/>
              <w:widowControl/>
              <w:kinsoku/>
              <w:wordWrap/>
              <w:overflowPunct/>
              <w:topLinePunct w:val="0"/>
              <w:autoSpaceDE w:val="0"/>
              <w:autoSpaceDN w:val="0"/>
              <w:bidi w:val="0"/>
              <w:adjustRightInd/>
              <w:snapToGrid/>
              <w:spacing w:line="240" w:lineRule="auto"/>
              <w:ind w:firstLine="0" w:firstLineChars="0"/>
              <w:jc w:val="center"/>
              <w:textAlignment w:val="auto"/>
              <w:rPr>
                <w:rFonts w:hint="eastAsia" w:cs="Times New Roman"/>
                <w:b w:val="0"/>
                <w:bCs w:val="0"/>
                <w:i w:val="0"/>
                <w:iCs w:val="0"/>
                <w:caps w:val="0"/>
                <w:color w:val="auto"/>
                <w:spacing w:val="0"/>
                <w:kern w:val="0"/>
                <w:sz w:val="18"/>
                <w:szCs w:val="16"/>
                <w:lang w:val="en-US" w:eastAsia="zh-CN" w:bidi="ar"/>
              </w:rPr>
            </w:pPr>
            <w:r>
              <w:rPr>
                <w:rFonts w:hint="eastAsia" w:ascii="宋体" w:hAnsi="宋体" w:eastAsia="宋体" w:cs="宋体"/>
                <w:b w:val="0"/>
                <w:bCs w:val="0"/>
                <w:i w:val="0"/>
                <w:iCs w:val="0"/>
                <w:caps w:val="0"/>
                <w:color w:val="auto"/>
                <w:spacing w:val="0"/>
                <w:kern w:val="0"/>
                <w:sz w:val="18"/>
                <w:szCs w:val="18"/>
                <w:lang w:val="en-US" w:eastAsia="zh-CN" w:bidi="ar"/>
              </w:rPr>
              <w:t>《药典》</w:t>
            </w:r>
          </w:p>
        </w:tc>
      </w:tr>
    </w:tbl>
    <w:p w14:paraId="4BE33F38">
      <w:pPr>
        <w:pStyle w:val="105"/>
        <w:numPr>
          <w:ilvl w:val="1"/>
          <w:numId w:val="0"/>
        </w:numPr>
        <w:spacing w:before="240" w:after="240"/>
        <w:ind w:leftChars="0"/>
        <w:rPr>
          <w:rFonts w:hint="eastAsia" w:ascii="黑体" w:hAnsi="Times New Roman" w:eastAsia="黑体" w:cs="Times New Roman"/>
          <w:b w:val="0"/>
          <w:i w:val="0"/>
          <w:color w:val="auto"/>
          <w:sz w:val="21"/>
          <w:lang w:val="en-US" w:eastAsia="zh-CN" w:bidi="ar-SA"/>
        </w:rPr>
      </w:pPr>
      <w:bookmarkStart w:id="96" w:name="_Toc12029"/>
      <w:bookmarkStart w:id="97" w:name="_Toc1837"/>
      <w:r>
        <w:rPr>
          <w:rFonts w:hint="eastAsia" w:ascii="黑体" w:hAnsi="Times New Roman" w:eastAsia="黑体" w:cs="Times New Roman"/>
          <w:b w:val="0"/>
          <w:i w:val="0"/>
          <w:color w:val="auto"/>
          <w:sz w:val="21"/>
          <w:lang w:val="en-US" w:eastAsia="zh-CN" w:bidi="ar-SA"/>
        </w:rPr>
        <w:t>8　质量控制</w:t>
      </w:r>
      <w:bookmarkEnd w:id="96"/>
      <w:bookmarkEnd w:id="97"/>
    </w:p>
    <w:p w14:paraId="52C810DB">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98" w:name="_Toc3449"/>
      <w:bookmarkStart w:id="99" w:name="_Toc27992"/>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w:t>
      </w:r>
      <w:r>
        <w:rPr>
          <w:rFonts w:hint="eastAsia"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1</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原材料质量控制</w:t>
      </w:r>
      <w:bookmarkEnd w:id="98"/>
    </w:p>
    <w:p w14:paraId="7FA2285A">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rPr>
      </w:pPr>
      <w:r>
        <w:rPr>
          <w:rFonts w:hint="eastAsia"/>
          <w:lang w:eastAsia="zh-CN"/>
        </w:rPr>
        <w:t>原材料质量控制应满足以下要求。</w:t>
      </w:r>
    </w:p>
    <w:p w14:paraId="12D95360">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a）入厂检验：层析介质、超滤膜、缓冲液组分等原材料入厂，需检验外观、关键性能指标及微生物限量，药用级缓冲液符合《药典》要求，合格方可入库。</w:t>
      </w:r>
    </w:p>
    <w:p w14:paraId="22A734FA">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b）储存与使用：按要求储存原材料，监控储存温湿度；使用前核对批次、有效期，层析介质不超过最大使用次数，缓冲液配制记录关键参数并检验pH、无菌性等。</w:t>
      </w:r>
    </w:p>
    <w:p w14:paraId="32A4A659">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100" w:name="_Toc11418"/>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w:t>
      </w:r>
      <w:r>
        <w:rPr>
          <w:rFonts w:hint="eastAsia"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2</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设备与系统控制</w:t>
      </w:r>
      <w:bookmarkEnd w:id="100"/>
    </w:p>
    <w:p w14:paraId="4AFE5690">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rPr>
      </w:pPr>
      <w:r>
        <w:rPr>
          <w:rFonts w:hint="eastAsia"/>
          <w:lang w:eastAsia="zh-CN"/>
        </w:rPr>
        <w:t>设备与系统控制应满足以下要求。</w:t>
      </w:r>
    </w:p>
    <w:p w14:paraId="731DD8E3">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a）校准与维护：关键仪器仪表定期校准（周期≤12个月），设备按计划日常与定期维护，记录维护内容与性能测试结果，确保设备正常运行。</w:t>
      </w:r>
    </w:p>
    <w:p w14:paraId="6993A9A5">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b）清洗（CIP）与灭菌（SIP）控制：CIP、SIP系统投入使用前及重大变更后验证，过程中监控清洗/灭菌参数，检验残留物与微生物，确保清洁、灭菌合格。</w:t>
      </w:r>
    </w:p>
    <w:p w14:paraId="5F9BB66E">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101" w:name="_Toc10070"/>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w:t>
      </w:r>
      <w:r>
        <w:rPr>
          <w:rFonts w:hint="eastAsia"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w:t>
      </w:r>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过程质量控制</w:t>
      </w:r>
      <w:bookmarkEnd w:id="99"/>
      <w:bookmarkEnd w:id="101"/>
    </w:p>
    <w:p w14:paraId="38D6812D">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rPr>
      </w:pPr>
      <w:r>
        <w:rPr>
          <w:rFonts w:hint="eastAsia"/>
          <w:lang w:eastAsia="zh-CN"/>
        </w:rPr>
        <w:t>工艺过程质量控制应满足以下要求。</w:t>
      </w:r>
    </w:p>
    <w:p w14:paraId="19AF8B3E">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eastAsia="宋体"/>
          <w:lang w:eastAsia="zh-CN"/>
        </w:rPr>
      </w:pPr>
      <w:r>
        <w:rPr>
          <w:rFonts w:hint="eastAsia"/>
          <w:lang w:val="en-US" w:eastAsia="zh-CN"/>
        </w:rPr>
        <w:t>a</w:t>
      </w:r>
      <w:r>
        <w:rPr>
          <w:rFonts w:hint="eastAsia"/>
          <w:lang w:eastAsia="zh-CN"/>
        </w:rPr>
        <w:t>）</w:t>
      </w:r>
      <w:r>
        <w:rPr>
          <w:rFonts w:hint="eastAsia"/>
        </w:rPr>
        <w:t>关键工艺监控</w:t>
      </w:r>
      <w:r>
        <w:rPr>
          <w:rFonts w:hint="eastAsia"/>
          <w:lang w:eastAsia="zh-CN"/>
        </w:rPr>
        <w:t>：针</w:t>
      </w:r>
      <w:r>
        <w:rPr>
          <w:rFonts w:hint="eastAsia"/>
        </w:rPr>
        <w:t>对发酵液/细胞裂解液</w:t>
      </w:r>
      <w:r>
        <w:rPr>
          <w:rFonts w:hint="eastAsia"/>
          <w:lang w:eastAsia="zh-CN"/>
        </w:rPr>
        <w:t>的</w:t>
      </w:r>
      <w:r>
        <w:rPr>
          <w:rFonts w:hint="eastAsia"/>
        </w:rPr>
        <w:t>pH、菌体浓度、目标蛋白表达量等</w:t>
      </w:r>
      <w:r>
        <w:rPr>
          <w:rFonts w:hint="eastAsia"/>
          <w:lang w:eastAsia="zh-CN"/>
        </w:rPr>
        <w:t>，</w:t>
      </w:r>
      <w:r>
        <w:rPr>
          <w:rFonts w:hint="eastAsia"/>
        </w:rPr>
        <w:t>收获与澄清</w:t>
      </w:r>
      <w:r>
        <w:rPr>
          <w:rFonts w:hint="eastAsia"/>
          <w:lang w:eastAsia="zh-CN"/>
        </w:rPr>
        <w:t>的</w:t>
      </w:r>
      <w:r>
        <w:rPr>
          <w:rFonts w:hint="eastAsia"/>
        </w:rPr>
        <w:t>离心参数、澄清液浊度等</w:t>
      </w:r>
      <w:r>
        <w:rPr>
          <w:rFonts w:hint="eastAsia"/>
          <w:lang w:eastAsia="zh-CN"/>
        </w:rPr>
        <w:t>，</w:t>
      </w:r>
      <w:r>
        <w:rPr>
          <w:rFonts w:hint="eastAsia"/>
        </w:rPr>
        <w:t>初级纯化</w:t>
      </w:r>
      <w:r>
        <w:rPr>
          <w:rFonts w:hint="eastAsia"/>
          <w:lang w:eastAsia="zh-CN"/>
        </w:rPr>
        <w:t>的</w:t>
      </w:r>
      <w:r>
        <w:rPr>
          <w:rFonts w:hint="eastAsia"/>
        </w:rPr>
        <w:t>流速、柱压、洗脱峰纯度等</w:t>
      </w:r>
      <w:r>
        <w:rPr>
          <w:rFonts w:hint="eastAsia"/>
          <w:lang w:eastAsia="zh-CN"/>
        </w:rPr>
        <w:t>，</w:t>
      </w:r>
      <w:r>
        <w:rPr>
          <w:rFonts w:hint="eastAsia"/>
        </w:rPr>
        <w:t>精纯</w:t>
      </w:r>
      <w:r>
        <w:rPr>
          <w:rFonts w:hint="eastAsia"/>
          <w:lang w:eastAsia="zh-CN"/>
        </w:rPr>
        <w:t>的</w:t>
      </w:r>
      <w:r>
        <w:rPr>
          <w:rFonts w:hint="eastAsia"/>
        </w:rPr>
        <w:t>盐浓度、洗脱梯度等</w:t>
      </w:r>
      <w:r>
        <w:rPr>
          <w:rFonts w:hint="eastAsia"/>
          <w:lang w:eastAsia="zh-CN"/>
        </w:rPr>
        <w:t>，</w:t>
      </w:r>
      <w:r>
        <w:rPr>
          <w:rFonts w:hint="eastAsia"/>
        </w:rPr>
        <w:t>成品处理</w:t>
      </w:r>
      <w:r>
        <w:rPr>
          <w:rFonts w:hint="eastAsia"/>
          <w:lang w:eastAsia="zh-CN"/>
        </w:rPr>
        <w:t>的</w:t>
      </w:r>
      <w:r>
        <w:rPr>
          <w:rFonts w:hint="eastAsia"/>
        </w:rPr>
        <w:t>跨膜压、滤膜完整性等各环节关键参数实时监控，确保符合预设范围，误差控制在规定限度内</w:t>
      </w:r>
      <w:r>
        <w:rPr>
          <w:rFonts w:hint="eastAsia"/>
          <w:lang w:eastAsia="zh-CN"/>
        </w:rPr>
        <w:t>。</w:t>
      </w:r>
    </w:p>
    <w:p w14:paraId="35C35693">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rPr>
      </w:pPr>
      <w:r>
        <w:rPr>
          <w:rFonts w:hint="eastAsia"/>
          <w:lang w:val="en-US" w:eastAsia="zh-CN"/>
        </w:rPr>
        <w:t>b</w:t>
      </w:r>
      <w:r>
        <w:rPr>
          <w:rFonts w:hint="eastAsia"/>
          <w:lang w:eastAsia="zh-CN"/>
        </w:rPr>
        <w:t>）</w:t>
      </w:r>
      <w:r>
        <w:rPr>
          <w:rFonts w:hint="eastAsia"/>
        </w:rPr>
        <w:t>过程样品检验</w:t>
      </w:r>
      <w:r>
        <w:rPr>
          <w:rFonts w:hint="eastAsia"/>
          <w:lang w:eastAsia="zh-CN"/>
        </w:rPr>
        <w:t>：</w:t>
      </w:r>
      <w:r>
        <w:rPr>
          <w:rFonts w:hint="eastAsia"/>
        </w:rPr>
        <w:t>各阶段按频次采样，澄清液检验蛋白浓度、核酸残留等；初级纯化洗脱液检验纯度、DNA 残留等；精纯后样品检验纯度、分子量分布等，及时把控过程质量。</w:t>
      </w:r>
    </w:p>
    <w:p w14:paraId="1CC3A054">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102" w:name="_Toc29268"/>
      <w:bookmarkStart w:id="103" w:name="_Toc9270"/>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8.4　偏差</w:t>
      </w:r>
      <w:bookmarkEnd w:id="102"/>
      <w:r>
        <w:rPr>
          <w:rFonts w:hint="eastAsia"/>
          <w:lang w:val="en-US" w:eastAsia="zh-CN"/>
        </w:rPr>
        <w:t>分析</w:t>
      </w:r>
      <w:bookmarkEnd w:id="103"/>
    </w:p>
    <w:p w14:paraId="69E7E3F4">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rPr>
      </w:pPr>
      <w:r>
        <w:rPr>
          <w:rFonts w:hint="eastAsia"/>
          <w:lang w:eastAsia="zh-CN"/>
        </w:rPr>
        <w:t>偏差发生后及时报告，组织调查分析根本原因，评估严重程度，制定并实施纠正预防措施，记录全过程，定期回顾偏差情况。</w:t>
      </w:r>
    </w:p>
    <w:p w14:paraId="4B45098A">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104" w:name="_Toc17929"/>
      <w:bookmarkStart w:id="105" w:name="_Toc26123"/>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8.5　变更控制</w:t>
      </w:r>
      <w:bookmarkEnd w:id="104"/>
      <w:bookmarkEnd w:id="105"/>
    </w:p>
    <w:p w14:paraId="55E655D2">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rPr>
      </w:pPr>
      <w:r>
        <w:rPr>
          <w:rFonts w:hint="eastAsia"/>
          <w:lang w:eastAsia="zh-CN"/>
        </w:rPr>
        <w:t>变更前申请并评估影响，微小变更审核批准后实施，一般/重大变更需验证（工艺、稳定性等），获批后实施，定期回顾变更效果。</w:t>
      </w:r>
    </w:p>
    <w:p w14:paraId="3FCD47CD">
      <w:pPr>
        <w:pStyle w:val="106"/>
        <w:numPr>
          <w:ilvl w:val="2"/>
          <w:numId w:val="0"/>
        </w:numPr>
        <w:spacing w:before="120" w:after="120"/>
        <w:ind w:left="0" w:leftChars="0" w:firstLine="0" w:firstLineChars="0"/>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pPr>
      <w:bookmarkStart w:id="106" w:name="_Toc2451"/>
      <w:bookmarkStart w:id="107" w:name="_Toc14374"/>
      <w:r>
        <w:rPr>
          <w:rFonts w:hint="eastAsia"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8.6　记录与文件管理</w:t>
      </w:r>
      <w:bookmarkEnd w:id="106"/>
      <w:bookmarkEnd w:id="107"/>
    </w:p>
    <w:p w14:paraId="31ACC613">
      <w:pPr>
        <w:pStyle w:val="57"/>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int="eastAsia"/>
          <w:lang w:eastAsia="zh-CN"/>
        </w:rPr>
      </w:pPr>
      <w:r>
        <w:rPr>
          <w:rFonts w:hint="eastAsia"/>
          <w:lang w:eastAsia="zh-CN"/>
        </w:rPr>
        <w:t>数据记录与文件管理应满足以下要求。</w:t>
      </w:r>
    </w:p>
    <w:p w14:paraId="6A279FA1">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a）质量记录：生产、检验、校准等记录真实完整，电子记录控权防篡改，按规定收集归档，保存至产品有效期后至少3年。</w:t>
      </w:r>
    </w:p>
    <w:p w14:paraId="3D842280">
      <w:pPr>
        <w:pStyle w:val="57"/>
        <w:keepNext w:val="0"/>
        <w:keepLines w:val="0"/>
        <w:pageBreakBefore w:val="0"/>
        <w:widowControl/>
        <w:kinsoku/>
        <w:wordWrap/>
        <w:overflowPunct/>
        <w:topLinePunct w:val="0"/>
        <w:autoSpaceDE w:val="0"/>
        <w:autoSpaceDN w:val="0"/>
        <w:bidi w:val="0"/>
        <w:adjustRightInd/>
        <w:snapToGrid/>
        <w:spacing w:line="240" w:lineRule="auto"/>
        <w:ind w:left="711" w:leftChars="200" w:hanging="291" w:hangingChars="139"/>
        <w:textAlignment w:val="auto"/>
        <w:rPr>
          <w:rFonts w:hint="eastAsia"/>
          <w:lang w:val="en-US" w:eastAsia="zh-CN"/>
        </w:rPr>
      </w:pPr>
      <w:r>
        <w:rPr>
          <w:rFonts w:hint="eastAsia"/>
          <w:lang w:val="en-US" w:eastAsia="zh-CN"/>
        </w:rPr>
        <w:t>b）文件管理：工艺规程、检验规程等文件制定审批后受控发放，更新时收回旧版，新文件发布后组织培训考核，定期评估文件适用性。</w:t>
      </w:r>
    </w:p>
    <w:p w14:paraId="0BF6B8F3">
      <w:pPr>
        <w:pStyle w:val="57"/>
        <w:ind w:firstLine="420"/>
      </w:pPr>
    </w:p>
    <w:p w14:paraId="62090884">
      <w:pPr>
        <w:pStyle w:val="57"/>
        <w:spacing w:line="360" w:lineRule="auto"/>
        <w:ind w:firstLine="0" w:firstLineChars="0"/>
        <w:jc w:val="center"/>
        <w:rPr>
          <w:b/>
          <w:bCs/>
        </w:rPr>
      </w:pPr>
    </w:p>
    <w:p w14:paraId="734CAA65">
      <w:pPr>
        <w:pStyle w:val="57"/>
        <w:spacing w:line="360" w:lineRule="auto"/>
        <w:ind w:firstLine="0" w:firstLineChars="0"/>
        <w:jc w:val="center"/>
        <w:rPr>
          <w:b/>
          <w:bCs/>
        </w:rPr>
      </w:pPr>
      <w:r>
        <mc:AlternateContent>
          <mc:Choice Requires="wps">
            <w:drawing>
              <wp:anchor distT="0" distB="0" distL="114300" distR="114300" simplePos="0" relativeHeight="251661312" behindDoc="0" locked="0" layoutInCell="1" allowOverlap="1">
                <wp:simplePos x="0" y="0"/>
                <wp:positionH relativeFrom="column">
                  <wp:posOffset>1941830</wp:posOffset>
                </wp:positionH>
                <wp:positionV relativeFrom="paragraph">
                  <wp:posOffset>64770</wp:posOffset>
                </wp:positionV>
                <wp:extent cx="1680210" cy="635"/>
                <wp:effectExtent l="0" t="9525" r="11430" b="12700"/>
                <wp:wrapNone/>
                <wp:docPr id="2" name="直接连接符 2"/>
                <wp:cNvGraphicFramePr/>
                <a:graphic xmlns:a="http://schemas.openxmlformats.org/drawingml/2006/main">
                  <a:graphicData uri="http://schemas.microsoft.com/office/word/2010/wordprocessingShape">
                    <wps:wsp>
                      <wps:cNvCnPr/>
                      <wps:spPr>
                        <a:xfrm>
                          <a:off x="0" y="0"/>
                          <a:ext cx="1680210"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52.9pt;margin-top:5.1pt;height:0.05pt;width:132.3pt;z-index:251661312;mso-width-relative:page;mso-height-relative:page;" filled="f" stroked="t" coordsize="21600,21600" o:gfxdata="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EcA&#10;xtYAAAAJAQAADwAAAAAAAAABACAAAAAiAAAAZHJzL2Rvd25yZXYueG1sUEsBAhQAFAAAAAgAh07i&#10;QKw1tj/rAQAA2wMAAA4AAAAAAAAAAQAgAAAAJQEAAGRycy9lMm9Eb2MueG1sUEsFBgAAAAAGAAYA&#10;WQEAAIIFAAAAAA==&#10;">
                <v:fill on="f" focussize="0,0"/>
                <v:stroke weight="1.5pt" color="#000000" joinstyle="round"/>
                <v:imagedata o:title=""/>
                <o:lock v:ext="edit" aspectratio="f"/>
              </v:line>
            </w:pict>
          </mc:Fallback>
        </mc:AlternateContent>
      </w:r>
      <w:bookmarkEnd w:id="20"/>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1D01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2B61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85D5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7403">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68D42">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A3F5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9D67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31E83">
    <w:pPr>
      <w:pStyle w:val="62"/>
    </w:pPr>
    <w:r>
      <w:fldChar w:fldCharType="begin"/>
    </w:r>
    <w:r>
      <w:instrText xml:space="preserve"> STYLEREF  标准文件_文件编号  \* MERGEFORMAT </w:instrText>
    </w:r>
    <w:r>
      <w:fldChar w:fldCharType="separate"/>
    </w:r>
    <w:r>
      <w:t>T/FDSA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46EA2">
    <w:pPr>
      <w:pStyle w:val="19"/>
      <w:jc w:val="right"/>
    </w:pPr>
    <w:r>
      <w:fldChar w:fldCharType="begin"/>
    </w:r>
    <w:r>
      <w:instrText xml:space="preserve"> STYLEREF  标准文件_文件编号  \* MERGEFORMAT </w:instrText>
    </w:r>
    <w:r>
      <w:fldChar w:fldCharType="separate"/>
    </w:r>
    <w:r>
      <w:t>T/FDSA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F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72"/>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E4B"/>
    <w:rsid w:val="003D0FF6"/>
    <w:rsid w:val="003D262C"/>
    <w:rsid w:val="003D6D61"/>
    <w:rsid w:val="003E019F"/>
    <w:rsid w:val="003E091D"/>
    <w:rsid w:val="003E1C53"/>
    <w:rsid w:val="003E2A69"/>
    <w:rsid w:val="003E2D49"/>
    <w:rsid w:val="003E2FD4"/>
    <w:rsid w:val="003E49F6"/>
    <w:rsid w:val="003E660F"/>
    <w:rsid w:val="003F0841"/>
    <w:rsid w:val="003F23D3"/>
    <w:rsid w:val="003F2534"/>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B84"/>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9F8"/>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12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24"/>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55B"/>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B2302"/>
    <w:rsid w:val="01A25EDC"/>
    <w:rsid w:val="0449454E"/>
    <w:rsid w:val="04CB4231"/>
    <w:rsid w:val="053E2C54"/>
    <w:rsid w:val="06147064"/>
    <w:rsid w:val="08145EEF"/>
    <w:rsid w:val="08AE6F52"/>
    <w:rsid w:val="091361DB"/>
    <w:rsid w:val="09DD5A78"/>
    <w:rsid w:val="0B415214"/>
    <w:rsid w:val="0BE94100"/>
    <w:rsid w:val="0EFF44A4"/>
    <w:rsid w:val="0F6E311F"/>
    <w:rsid w:val="0FE87692"/>
    <w:rsid w:val="0FF43FCA"/>
    <w:rsid w:val="11BE0EFC"/>
    <w:rsid w:val="12115286"/>
    <w:rsid w:val="12615B40"/>
    <w:rsid w:val="12724E92"/>
    <w:rsid w:val="13855EF2"/>
    <w:rsid w:val="13D824C6"/>
    <w:rsid w:val="14730D5B"/>
    <w:rsid w:val="14B2243D"/>
    <w:rsid w:val="154A77AF"/>
    <w:rsid w:val="156E1B48"/>
    <w:rsid w:val="15DB4D1F"/>
    <w:rsid w:val="16EB30C7"/>
    <w:rsid w:val="18E366B4"/>
    <w:rsid w:val="19573EBF"/>
    <w:rsid w:val="19830BC5"/>
    <w:rsid w:val="1A926728"/>
    <w:rsid w:val="1A9F3A43"/>
    <w:rsid w:val="1AA6738D"/>
    <w:rsid w:val="1CF57C45"/>
    <w:rsid w:val="1DF3388D"/>
    <w:rsid w:val="1E7E024D"/>
    <w:rsid w:val="1FCB6234"/>
    <w:rsid w:val="1FF95C9E"/>
    <w:rsid w:val="20076C95"/>
    <w:rsid w:val="202F0DF9"/>
    <w:rsid w:val="21F16E98"/>
    <w:rsid w:val="220F31A3"/>
    <w:rsid w:val="22284C58"/>
    <w:rsid w:val="229D27C9"/>
    <w:rsid w:val="23056708"/>
    <w:rsid w:val="23CB04B2"/>
    <w:rsid w:val="242A28F9"/>
    <w:rsid w:val="247A3549"/>
    <w:rsid w:val="25741C3F"/>
    <w:rsid w:val="259A75DB"/>
    <w:rsid w:val="25AF2202"/>
    <w:rsid w:val="26435EC5"/>
    <w:rsid w:val="271B299E"/>
    <w:rsid w:val="27207FB4"/>
    <w:rsid w:val="272F6449"/>
    <w:rsid w:val="27F1248A"/>
    <w:rsid w:val="28007EDF"/>
    <w:rsid w:val="280256AF"/>
    <w:rsid w:val="288602EB"/>
    <w:rsid w:val="28DE1ED5"/>
    <w:rsid w:val="28E86DCB"/>
    <w:rsid w:val="28E8751C"/>
    <w:rsid w:val="2B3F63F6"/>
    <w:rsid w:val="2E67471B"/>
    <w:rsid w:val="30B52F3C"/>
    <w:rsid w:val="30BA7C7A"/>
    <w:rsid w:val="30C419B0"/>
    <w:rsid w:val="32780B23"/>
    <w:rsid w:val="332C7FD8"/>
    <w:rsid w:val="340F5D34"/>
    <w:rsid w:val="348F22D5"/>
    <w:rsid w:val="34DA64C3"/>
    <w:rsid w:val="350D3C6C"/>
    <w:rsid w:val="351153E0"/>
    <w:rsid w:val="37C95A26"/>
    <w:rsid w:val="38136B82"/>
    <w:rsid w:val="38686D8A"/>
    <w:rsid w:val="38D53B87"/>
    <w:rsid w:val="39665CFB"/>
    <w:rsid w:val="397F1AA4"/>
    <w:rsid w:val="39C7750D"/>
    <w:rsid w:val="3B2664AF"/>
    <w:rsid w:val="3BC90386"/>
    <w:rsid w:val="3C917FE3"/>
    <w:rsid w:val="3D023F8C"/>
    <w:rsid w:val="3D5250DF"/>
    <w:rsid w:val="3EF94BC8"/>
    <w:rsid w:val="4269682D"/>
    <w:rsid w:val="42B2686E"/>
    <w:rsid w:val="44B07BCE"/>
    <w:rsid w:val="45C53DA9"/>
    <w:rsid w:val="460A3EB2"/>
    <w:rsid w:val="46BA28E5"/>
    <w:rsid w:val="477916A5"/>
    <w:rsid w:val="479229E6"/>
    <w:rsid w:val="489B4A7C"/>
    <w:rsid w:val="4968170B"/>
    <w:rsid w:val="4B3D12ED"/>
    <w:rsid w:val="4B614DB8"/>
    <w:rsid w:val="4BCD71F4"/>
    <w:rsid w:val="4CBD3A2C"/>
    <w:rsid w:val="4CDA2489"/>
    <w:rsid w:val="4D1B2795"/>
    <w:rsid w:val="4FF5172F"/>
    <w:rsid w:val="509C4492"/>
    <w:rsid w:val="516E79EA"/>
    <w:rsid w:val="52FD6150"/>
    <w:rsid w:val="53582700"/>
    <w:rsid w:val="542F72A2"/>
    <w:rsid w:val="54927D67"/>
    <w:rsid w:val="554E7A71"/>
    <w:rsid w:val="55DA73FC"/>
    <w:rsid w:val="55E363B7"/>
    <w:rsid w:val="579461AD"/>
    <w:rsid w:val="57952B4E"/>
    <w:rsid w:val="57A6123A"/>
    <w:rsid w:val="58DE66DD"/>
    <w:rsid w:val="5B502C58"/>
    <w:rsid w:val="5BC07095"/>
    <w:rsid w:val="5C1C603C"/>
    <w:rsid w:val="5D5C61C3"/>
    <w:rsid w:val="5EDD3604"/>
    <w:rsid w:val="627D7A8D"/>
    <w:rsid w:val="62F6339C"/>
    <w:rsid w:val="63783A8F"/>
    <w:rsid w:val="6582177B"/>
    <w:rsid w:val="67FC1454"/>
    <w:rsid w:val="68096B78"/>
    <w:rsid w:val="6B8F7F8A"/>
    <w:rsid w:val="6BB0716A"/>
    <w:rsid w:val="6BB43DF4"/>
    <w:rsid w:val="6BD16BCB"/>
    <w:rsid w:val="6C0A7FDB"/>
    <w:rsid w:val="6C2F06A5"/>
    <w:rsid w:val="6C3A384A"/>
    <w:rsid w:val="6D6B33D9"/>
    <w:rsid w:val="6D935D32"/>
    <w:rsid w:val="6DE311EB"/>
    <w:rsid w:val="6FCA62DC"/>
    <w:rsid w:val="70D94A29"/>
    <w:rsid w:val="72616D94"/>
    <w:rsid w:val="72F84F0E"/>
    <w:rsid w:val="732C3557"/>
    <w:rsid w:val="73C6500C"/>
    <w:rsid w:val="73CB4193"/>
    <w:rsid w:val="74B04D28"/>
    <w:rsid w:val="78A31B56"/>
    <w:rsid w:val="79A36875"/>
    <w:rsid w:val="79E81BD7"/>
    <w:rsid w:val="79F93A46"/>
    <w:rsid w:val="7B5A49B8"/>
    <w:rsid w:val="7B7172F2"/>
    <w:rsid w:val="7BDA1655"/>
    <w:rsid w:val="7D0F14D7"/>
    <w:rsid w:val="7E1B48CC"/>
    <w:rsid w:val="7E582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99"/>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99"/>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99"/>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1章标题"/>
    <w:next w:val="1"/>
    <w:qFormat/>
    <w:uiPriority w:val="99"/>
    <w:pPr>
      <w:spacing w:beforeLines="50" w:afterLines="50"/>
      <w:jc w:val="both"/>
      <w:outlineLvl w:val="0"/>
    </w:pPr>
    <w:rPr>
      <w:rFonts w:ascii="黑体" w:hAnsi="Times New Roman" w:eastAsia="黑体" w:cs="黑体"/>
      <w:sz w:val="21"/>
      <w:szCs w:val="21"/>
      <w:lang w:val="en-US" w:eastAsia="zh-CN" w:bidi="ar-SA"/>
    </w:rPr>
  </w:style>
  <w:style w:type="paragraph" w:customStyle="1" w:styleId="232">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B316CE4465D47F98C68F69647A9E61E"/>
        <w:style w:val=""/>
        <w:category>
          <w:name w:val="常规"/>
          <w:gallery w:val="placeholder"/>
        </w:category>
        <w:types>
          <w:type w:val="bbPlcHdr"/>
        </w:types>
        <w:behaviors>
          <w:behavior w:val="content"/>
        </w:behaviors>
        <w:description w:val=""/>
        <w:guid w:val="{EF27D18F-2376-41DB-8B27-9DDBC21F7CD3}"/>
      </w:docPartPr>
      <w:docPartBody>
        <w:p w14:paraId="7420A96A">
          <w:pPr>
            <w:pStyle w:val="5"/>
          </w:pPr>
          <w:r>
            <w:rPr>
              <w:rStyle w:val="4"/>
              <w:rFonts w:hint="eastAsia"/>
            </w:rPr>
            <w:t>单击或点击此处输入文字。</w:t>
          </w:r>
        </w:p>
      </w:docPartBody>
    </w:docPart>
    <w:docPart>
      <w:docPartPr>
        <w:name w:val="852F8444021F4281AF35109EB2F14FFB"/>
        <w:style w:val=""/>
        <w:category>
          <w:name w:val="常规"/>
          <w:gallery w:val="placeholder"/>
        </w:category>
        <w:types>
          <w:type w:val="bbPlcHdr"/>
        </w:types>
        <w:behaviors>
          <w:behavior w:val="content"/>
        </w:behaviors>
        <w:description w:val=""/>
        <w:guid w:val="{11D86935-65A1-4ABE-803A-632B4ABC6C3E}"/>
      </w:docPartPr>
      <w:docPartBody>
        <w:p w14:paraId="1928CC29">
          <w:pPr>
            <w:pStyle w:val="6"/>
          </w:pPr>
          <w:r>
            <w:rPr>
              <w:rStyle w:val="4"/>
              <w:rFonts w:hint="eastAsia"/>
            </w:rPr>
            <w:t>选择一项。</w:t>
          </w:r>
        </w:p>
      </w:docPartBody>
    </w:docPart>
    <w:docPart>
      <w:docPartPr>
        <w:name w:val="F92F88890D4C44B7816A2B70D8A3F85B"/>
        <w:style w:val=""/>
        <w:category>
          <w:name w:val="常规"/>
          <w:gallery w:val="placeholder"/>
        </w:category>
        <w:types>
          <w:type w:val="bbPlcHdr"/>
        </w:types>
        <w:behaviors>
          <w:behavior w:val="content"/>
        </w:behaviors>
        <w:description w:val=""/>
        <w:guid w:val="{7DAA9EA1-B65A-4FA6-BB5C-1918960FEB4C}"/>
      </w:docPartPr>
      <w:docPartBody>
        <w:p w14:paraId="565BD257">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11"/>
    <w:rsid w:val="003D0E4B"/>
    <w:rsid w:val="00986D11"/>
    <w:rsid w:val="00A356CA"/>
    <w:rsid w:val="00B74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B316CE4465D47F98C68F69647A9E61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52F8444021F4281AF35109EB2F14FF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92F88890D4C44B7816A2B70D8A3F8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61a66c65-0d24-4a22-ac49-0d9563bedc79</errorID>
      <errorWord>重悬</errorWord>
      <group>L1_Word</group>
      <groupName>字词问题</groupName>
      <ability>L2_Typo</ability>
      <abilityName>字词错误</abilityName>
      <candidateList>
        <item>重组</item>
      </candidateList>
      <explain/>
      <paraID>6F79E658</paraID>
      <start>31</start>
      <end>33</end>
      <status>ignored</status>
      <modifiedWord/>
      <trackRevisions>false</trackRevisions>
    </reviewItem>
    <reviewItem>
      <errorID>03f95b03-10d6-427b-8dfa-cd8881ec7769</errorID>
      <errorWord>超</errorWord>
      <group>L1_Word</group>
      <groupName>字词问题</groupName>
      <ability>L2_Typo</ability>
      <abilityName>字词错误</abilityName>
      <candidateList>
        <item>超过</item>
      </candidateList>
      <explain/>
      <paraID>22A734FA</paraID>
      <start>42</start>
      <end>44</end>
      <status>modified</status>
      <modifiedWord>超过</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4785B-F829-411D-AF14-097FD138E149}">
  <ds:schemaRefs/>
</ds:datastoreItem>
</file>

<file path=customXml/itemProps3.xml><?xml version="1.0" encoding="utf-8"?>
<ds:datastoreItem xmlns:ds="http://schemas.openxmlformats.org/officeDocument/2006/customXml" ds:itemID="{98d507b9-699f-4810-a408-2fe4a0ea163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4096</Words>
  <Characters>4590</Characters>
  <Lines>69</Lines>
  <Paragraphs>19</Paragraphs>
  <TotalTime>11</TotalTime>
  <ScaleCrop>false</ScaleCrop>
  <LinksUpToDate>false</LinksUpToDate>
  <CharactersWithSpaces>4736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2025-09-08T07:46:00Z</dcterms:created>
  <dc:creator>Lenovo</dc:creator>
  <cp:lastModifiedBy>纯白记忆</cp:lastModifiedBy>
  <cp:lastPrinted>2021-02-02T08:22:00Z</cp:lastPrinted>
  <dcterms:modified xsi:type="dcterms:W3CDTF">2025-11-24T02:17:05Z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eyJoZGlkIjoiZjgwZDVjMmFkZDI1YjgyMjQ3NTg4ZTQxNzA5ODE1NjciLCJ1c2VySWQiOiIyODU5NDM2MjAifQ==</vt:lpwstr>
  </property>
  <property fmtid="{D5CDD505-2E9C-101B-9397-08002B2CF9AE}" pid="15" name="KSOProductBuildVer">
    <vt:lpwstr>2052-12.1.0.23542</vt:lpwstr>
  </property>
  <property fmtid="{D5CDD505-2E9C-101B-9397-08002B2CF9AE}" pid="16" name="ICV">
    <vt:lpwstr>A8B6D7BA153B41938E041BB91E449C1F_13</vt:lpwstr>
  </property>
</Properties>
</file>